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9" w:type="dxa"/>
        <w:tblInd w:w="-142" w:type="dxa"/>
        <w:tblBorders>
          <w:bottom w:val="single" w:sz="12" w:space="0" w:color="auto"/>
        </w:tblBorders>
        <w:tblLayout w:type="fixed"/>
        <w:tblLook w:val="0000" w:firstRow="0" w:lastRow="0" w:firstColumn="0" w:lastColumn="0" w:noHBand="0" w:noVBand="0"/>
      </w:tblPr>
      <w:tblGrid>
        <w:gridCol w:w="8364"/>
        <w:gridCol w:w="1985"/>
      </w:tblGrid>
      <w:tr w:rsidR="00892D9B" w:rsidRPr="00DE03EA" w14:paraId="6E68E5CF" w14:textId="77777777" w:rsidTr="0026136A">
        <w:trPr>
          <w:cantSplit/>
          <w:trHeight w:val="1276"/>
        </w:trPr>
        <w:tc>
          <w:tcPr>
            <w:tcW w:w="8364" w:type="dxa"/>
            <w:vAlign w:val="center"/>
          </w:tcPr>
          <w:p w14:paraId="5F42B67A" w14:textId="4C82C6CD" w:rsidR="00892D9B" w:rsidRPr="00892D9B" w:rsidRDefault="00181A1E" w:rsidP="00312463">
            <w:pPr>
              <w:pStyle w:val="btheading"/>
              <w:tabs>
                <w:tab w:val="clear" w:pos="9214"/>
                <w:tab w:val="right" w:pos="8110"/>
              </w:tabs>
              <w:spacing w:before="0" w:after="0" w:line="240" w:lineRule="auto"/>
              <w:ind w:left="41" w:right="0"/>
              <w:rPr>
                <w:rFonts w:ascii="Calibri" w:hAnsi="Calibri" w:cs="Calibri"/>
                <w:sz w:val="52"/>
                <w:szCs w:val="40"/>
              </w:rPr>
            </w:pPr>
            <w:r>
              <w:rPr>
                <w:rFonts w:ascii="Calibri" w:hAnsi="Calibri" w:cs="Calibri"/>
                <w:b/>
                <w:sz w:val="52"/>
                <w:szCs w:val="40"/>
              </w:rPr>
              <w:t xml:space="preserve">Data </w:t>
            </w:r>
            <w:r w:rsidR="00E05632">
              <w:rPr>
                <w:rFonts w:ascii="Calibri" w:hAnsi="Calibri" w:cs="Calibri"/>
                <w:b/>
                <w:sz w:val="52"/>
                <w:szCs w:val="40"/>
              </w:rPr>
              <w:t>Breach Reporting</w:t>
            </w:r>
            <w:r w:rsidR="006903CC" w:rsidRPr="006903CC">
              <w:rPr>
                <w:rFonts w:ascii="Calibri" w:hAnsi="Calibri" w:cs="Calibri"/>
                <w:b/>
                <w:sz w:val="52"/>
                <w:szCs w:val="40"/>
              </w:rPr>
              <w:t xml:space="preserve"> Procedure</w:t>
            </w:r>
            <w:r w:rsidR="00892D9B">
              <w:rPr>
                <w:rFonts w:ascii="Calibri" w:hAnsi="Calibri" w:cs="Calibri"/>
                <w:b/>
                <w:sz w:val="52"/>
                <w:szCs w:val="40"/>
              </w:rPr>
              <w:br/>
            </w:r>
            <w:r w:rsidR="00892D9B" w:rsidRPr="0026136A">
              <w:rPr>
                <w:rFonts w:ascii="Calibri" w:hAnsi="Calibri" w:cs="Calibri"/>
                <w:sz w:val="52"/>
                <w:szCs w:val="40"/>
              </w:rPr>
              <w:t xml:space="preserve">for </w:t>
            </w:r>
            <w:r w:rsidR="00312463">
              <w:rPr>
                <w:rFonts w:ascii="Calibri" w:hAnsi="Calibri" w:cs="Calibri"/>
                <w:sz w:val="52"/>
                <w:szCs w:val="40"/>
              </w:rPr>
              <w:t>South London Scouts</w:t>
            </w:r>
          </w:p>
        </w:tc>
        <w:tc>
          <w:tcPr>
            <w:tcW w:w="1985" w:type="dxa"/>
            <w:vAlign w:val="center"/>
          </w:tcPr>
          <w:p w14:paraId="1D5F5C69" w14:textId="5AF72CC4" w:rsidR="00892D9B" w:rsidRPr="00DE03EA" w:rsidRDefault="00EC1162" w:rsidP="00312463">
            <w:pPr>
              <w:pStyle w:val="btlogo"/>
              <w:spacing w:before="0" w:line="240" w:lineRule="auto"/>
              <w:ind w:left="-50"/>
              <w:jc w:val="center"/>
              <w:rPr>
                <w:rFonts w:ascii="Calibri" w:hAnsi="Calibri" w:cs="Calibri"/>
              </w:rPr>
            </w:pPr>
            <w:r>
              <w:rPr>
                <w:rFonts w:ascii="Calibri" w:hAnsi="Calibri" w:cs="Calibri"/>
                <w:noProof/>
              </w:rPr>
              <w:drawing>
                <wp:inline distT="0" distB="0" distL="0" distR="0" wp14:anchorId="577D38F0" wp14:editId="79FE31F1">
                  <wp:extent cx="986555" cy="705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NEW SLS LOGO HIGH 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1753" cy="709196"/>
                          </a:xfrm>
                          <a:prstGeom prst="rect">
                            <a:avLst/>
                          </a:prstGeom>
                        </pic:spPr>
                      </pic:pic>
                    </a:graphicData>
                  </a:graphic>
                </wp:inline>
              </w:drawing>
            </w:r>
          </w:p>
        </w:tc>
      </w:tr>
    </w:tbl>
    <w:p w14:paraId="4CE744AE" w14:textId="39DB7402" w:rsidR="00892D9B" w:rsidRPr="0026136A" w:rsidRDefault="00892D9B" w:rsidP="00312463">
      <w:pPr>
        <w:spacing w:after="0" w:line="240" w:lineRule="auto"/>
        <w:rPr>
          <w:color w:val="595959" w:themeColor="text1" w:themeTint="A6"/>
          <w:sz w:val="36"/>
        </w:rPr>
      </w:pPr>
      <w:r w:rsidRPr="0026136A">
        <w:rPr>
          <w:b/>
          <w:color w:val="595959" w:themeColor="text1" w:themeTint="A6"/>
          <w:sz w:val="36"/>
        </w:rPr>
        <w:t>Issue 1:</w:t>
      </w:r>
      <w:r w:rsidRPr="0026136A">
        <w:rPr>
          <w:color w:val="595959" w:themeColor="text1" w:themeTint="A6"/>
          <w:sz w:val="36"/>
        </w:rPr>
        <w:t xml:space="preserve"> </w:t>
      </w:r>
      <w:r w:rsidR="00042A45">
        <w:rPr>
          <w:color w:val="595959" w:themeColor="text1" w:themeTint="A6"/>
          <w:sz w:val="36"/>
        </w:rPr>
        <w:t>March</w:t>
      </w:r>
      <w:r w:rsidR="00181A1E">
        <w:rPr>
          <w:color w:val="595959" w:themeColor="text1" w:themeTint="A6"/>
          <w:sz w:val="36"/>
        </w:rPr>
        <w:t xml:space="preserve"> 2018</w:t>
      </w:r>
    </w:p>
    <w:p w14:paraId="4C3F4F91" w14:textId="77777777" w:rsidR="00892D9B" w:rsidRDefault="00892D9B" w:rsidP="00312463">
      <w:pPr>
        <w:spacing w:after="0" w:line="240" w:lineRule="auto"/>
        <w:rPr>
          <w:b/>
          <w:sz w:val="28"/>
        </w:rPr>
      </w:pPr>
    </w:p>
    <w:p w14:paraId="5824EC67" w14:textId="572AB2E0" w:rsidR="003D6901" w:rsidRDefault="003D6901" w:rsidP="00312463">
      <w:pPr>
        <w:spacing w:after="0" w:line="240" w:lineRule="auto"/>
        <w:rPr>
          <w:b/>
          <w:sz w:val="28"/>
        </w:rPr>
      </w:pPr>
      <w:r w:rsidRPr="00E161D5">
        <w:rPr>
          <w:b/>
          <w:sz w:val="28"/>
        </w:rPr>
        <w:t xml:space="preserve">About this </w:t>
      </w:r>
      <w:r w:rsidR="00DD7BF6">
        <w:rPr>
          <w:b/>
          <w:sz w:val="28"/>
        </w:rPr>
        <w:t>procedure</w:t>
      </w:r>
    </w:p>
    <w:p w14:paraId="2803DC26" w14:textId="2C17A11A" w:rsidR="00B97A39" w:rsidRDefault="00B97A39" w:rsidP="00312463">
      <w:pPr>
        <w:spacing w:after="0" w:line="240" w:lineRule="auto"/>
      </w:pPr>
      <w:r w:rsidRPr="00B97A39">
        <w:t xml:space="preserve">This procedure defines how </w:t>
      </w:r>
      <w:r w:rsidR="00312463">
        <w:t>Greater London South Scout County</w:t>
      </w:r>
      <w:r w:rsidRPr="00B97A39">
        <w:t xml:space="preserve"> will manage </w:t>
      </w:r>
      <w:r w:rsidR="00E05632">
        <w:t xml:space="preserve">personal data breaches </w:t>
      </w:r>
      <w:r w:rsidRPr="00B97A39">
        <w:t>in accordance with the UK Data Protection Bill 2017.</w:t>
      </w:r>
      <w:r w:rsidR="00E53C15">
        <w:t xml:space="preserve"> It should be read in conjunction with </w:t>
      </w:r>
      <w:r w:rsidR="00980C25">
        <w:t>current</w:t>
      </w:r>
      <w:r w:rsidR="00E53C15">
        <w:t xml:space="preserve"> information and guidance published by the UK Information Commissioner’s Office (ICO – </w:t>
      </w:r>
      <w:hyperlink r:id="rId7" w:history="1">
        <w:r w:rsidR="00980C25" w:rsidRPr="00D52740">
          <w:rPr>
            <w:rStyle w:val="Hyperlink"/>
          </w:rPr>
          <w:t>http://ico.org.uk/</w:t>
        </w:r>
      </w:hyperlink>
      <w:r w:rsidR="00980C25">
        <w:t xml:space="preserve">) </w:t>
      </w:r>
    </w:p>
    <w:p w14:paraId="218C22E3" w14:textId="77777777" w:rsidR="00312463" w:rsidRPr="00B97A39" w:rsidRDefault="00312463" w:rsidP="00312463">
      <w:pPr>
        <w:spacing w:after="0" w:line="240" w:lineRule="auto"/>
      </w:pPr>
    </w:p>
    <w:p w14:paraId="3721557A" w14:textId="18231A09" w:rsidR="00B97A39" w:rsidRDefault="00B97A39" w:rsidP="00312463">
      <w:pPr>
        <w:spacing w:after="0" w:line="240" w:lineRule="auto"/>
      </w:pPr>
      <w:r w:rsidRPr="00B97A39">
        <w:t xml:space="preserve">Note that </w:t>
      </w:r>
      <w:r w:rsidR="00772BD5">
        <w:t xml:space="preserve">once the UK leaves the European Union, </w:t>
      </w:r>
      <w:r w:rsidRPr="00B97A39">
        <w:t xml:space="preserve">additional requirements of the European Union General Data Protection Regulation (GDPR) (Regulation (EU) 2016/679) may </w:t>
      </w:r>
      <w:r w:rsidR="00772BD5">
        <w:t>continue to</w:t>
      </w:r>
      <w:r w:rsidRPr="00B97A39">
        <w:t xml:space="preserve"> apply with respect to data processed relating to EU citizens</w:t>
      </w:r>
      <w:r>
        <w:t>, which may include members</w:t>
      </w:r>
      <w:r w:rsidR="00204389">
        <w:t>, staff, suppliers, customers etc</w:t>
      </w:r>
      <w:r w:rsidRPr="00B97A39">
        <w:t xml:space="preserve">. </w:t>
      </w:r>
      <w:r w:rsidR="008D5F26">
        <w:t xml:space="preserve">As </w:t>
      </w:r>
      <w:r w:rsidR="00312463">
        <w:t>Greater London South Scout County</w:t>
      </w:r>
      <w:r w:rsidR="008D5F26">
        <w:t xml:space="preserve"> does not regularly process data relating to citizens of the EU as a matter of course, it is considered that the UK</w:t>
      </w:r>
      <w:r w:rsidRPr="00B97A39">
        <w:t xml:space="preserve"> Data Protection Bill 2017 will meet the requirements of </w:t>
      </w:r>
      <w:r w:rsidR="00204389">
        <w:t xml:space="preserve">the </w:t>
      </w:r>
      <w:r w:rsidRPr="00B97A39">
        <w:t>EU GDPR</w:t>
      </w:r>
      <w:r w:rsidR="00204389">
        <w:t xml:space="preserve"> regulation</w:t>
      </w:r>
      <w:r w:rsidR="008D5F26">
        <w:t>. Should this position change</w:t>
      </w:r>
      <w:r w:rsidR="00500226">
        <w:t xml:space="preserve"> th</w:t>
      </w:r>
      <w:r w:rsidR="00D36ED3">
        <w:t>is procedure will be reviewed.</w:t>
      </w:r>
    </w:p>
    <w:p w14:paraId="15AA8E42" w14:textId="77777777" w:rsidR="00312463" w:rsidRPr="00B97A39" w:rsidRDefault="00312463" w:rsidP="00312463">
      <w:pPr>
        <w:spacing w:after="0" w:line="240" w:lineRule="auto"/>
      </w:pPr>
    </w:p>
    <w:p w14:paraId="0AC9761E" w14:textId="4B203C4A" w:rsidR="00D05552" w:rsidRDefault="00B97A39" w:rsidP="00312463">
      <w:pPr>
        <w:spacing w:after="0" w:line="240" w:lineRule="auto"/>
      </w:pPr>
      <w:r w:rsidRPr="00B97A39">
        <w:t xml:space="preserve">The general </w:t>
      </w:r>
      <w:r w:rsidR="00D36ED3">
        <w:t>requirements for data protection are defined in the county Data Protection Policy.</w:t>
      </w:r>
    </w:p>
    <w:p w14:paraId="2EB5B335" w14:textId="77777777" w:rsidR="00312463" w:rsidRDefault="00312463" w:rsidP="00312463">
      <w:pPr>
        <w:spacing w:after="0" w:line="240" w:lineRule="auto"/>
      </w:pPr>
    </w:p>
    <w:p w14:paraId="3977BEAE" w14:textId="565DD710" w:rsidR="006C6E5D" w:rsidRDefault="009A0043" w:rsidP="00312463">
      <w:pPr>
        <w:spacing w:after="0" w:line="240" w:lineRule="auto"/>
        <w:sectPr w:rsidR="006C6E5D" w:rsidSect="0026136A">
          <w:pgSz w:w="11906" w:h="16838"/>
          <w:pgMar w:top="709" w:right="991" w:bottom="1440" w:left="851" w:header="708" w:footer="708" w:gutter="0"/>
          <w:cols w:space="708"/>
          <w:docGrid w:linePitch="360"/>
        </w:sectPr>
      </w:pPr>
      <w:r>
        <w:t xml:space="preserve">Note that any </w:t>
      </w:r>
      <w:proofErr w:type="spellStart"/>
      <w:r>
        <w:t>subprocessor</w:t>
      </w:r>
      <w:r w:rsidR="002176C2">
        <w:t>s</w:t>
      </w:r>
      <w:proofErr w:type="spellEnd"/>
      <w:r>
        <w:t xml:space="preserve"> </w:t>
      </w:r>
      <w:r w:rsidR="002176C2">
        <w:t xml:space="preserve">engaged on behalf of </w:t>
      </w:r>
      <w:r w:rsidR="00312463">
        <w:t>Greater London South Scout County</w:t>
      </w:r>
      <w:r w:rsidR="002176C2">
        <w:t xml:space="preserve"> (e.g. </w:t>
      </w:r>
      <w:r w:rsidR="00F33A36">
        <w:t>Online Scout Manager</w:t>
      </w:r>
      <w:r w:rsidR="00312463">
        <w:t>,</w:t>
      </w:r>
      <w:r w:rsidR="00F33A36">
        <w:t xml:space="preserve"> </w:t>
      </w:r>
      <w:r w:rsidR="002176C2">
        <w:t>etc</w:t>
      </w:r>
      <w:r w:rsidR="00312463">
        <w:t>.</w:t>
      </w:r>
      <w:r w:rsidR="002176C2">
        <w:t>) are required to report ALL data privacy breaches. They should be considered as reporting parties with respect to this procedure.</w:t>
      </w:r>
    </w:p>
    <w:p w14:paraId="40517296" w14:textId="160BBEE9" w:rsidR="00D05552" w:rsidRDefault="002D6329" w:rsidP="00312463">
      <w:pPr>
        <w:spacing w:after="0" w:line="240" w:lineRule="auto"/>
        <w:jc w:val="center"/>
        <w:rPr>
          <w:b/>
          <w:sz w:val="28"/>
        </w:rPr>
      </w:pPr>
      <w:r>
        <w:object w:dxaOrig="14086" w:dyaOrig="11536" w14:anchorId="05570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3.65pt;height:502.9pt" o:ole="">
            <v:imagedata r:id="rId8" o:title=""/>
          </v:shape>
          <o:OLEObject Type="Embed" ProgID="Visio.Drawing.15" ShapeID="_x0000_i1025" DrawAspect="Content" ObjectID="_1586161977" r:id="rId9"/>
        </w:object>
      </w:r>
    </w:p>
    <w:p w14:paraId="4656E225" w14:textId="2994A418" w:rsidR="006C6E5D" w:rsidRDefault="006C6E5D" w:rsidP="00312463">
      <w:pPr>
        <w:spacing w:after="0" w:line="240" w:lineRule="auto"/>
        <w:sectPr w:rsidR="006C6E5D" w:rsidSect="00D05552">
          <w:pgSz w:w="16838" w:h="11906" w:orient="landscape"/>
          <w:pgMar w:top="851" w:right="709" w:bottom="991" w:left="1440" w:header="708" w:footer="708" w:gutter="0"/>
          <w:cols w:space="708"/>
          <w:docGrid w:linePitch="360"/>
        </w:sectPr>
      </w:pPr>
    </w:p>
    <w:p w14:paraId="45EDB177" w14:textId="4ABE0D4D" w:rsidR="00C054E5" w:rsidRDefault="00C054E5" w:rsidP="00312463">
      <w:pPr>
        <w:spacing w:after="0" w:line="240" w:lineRule="auto"/>
      </w:pPr>
      <w:r>
        <w:lastRenderedPageBreak/>
        <w:t>This process is described in more detail below</w:t>
      </w:r>
    </w:p>
    <w:tbl>
      <w:tblPr>
        <w:tblStyle w:val="TableGrid"/>
        <w:tblW w:w="0" w:type="auto"/>
        <w:tblLook w:val="04A0" w:firstRow="1" w:lastRow="0" w:firstColumn="1" w:lastColumn="0" w:noHBand="0" w:noVBand="1"/>
      </w:tblPr>
      <w:tblGrid>
        <w:gridCol w:w="1949"/>
        <w:gridCol w:w="8105"/>
      </w:tblGrid>
      <w:tr w:rsidR="00DB3AD7" w14:paraId="024C280B" w14:textId="77777777" w:rsidTr="004709AE">
        <w:trPr>
          <w:tblHeader/>
        </w:trPr>
        <w:tc>
          <w:tcPr>
            <w:tcW w:w="1949" w:type="dxa"/>
            <w:shd w:val="clear" w:color="auto" w:fill="E7E6E6" w:themeFill="background2"/>
          </w:tcPr>
          <w:p w14:paraId="1E815E47" w14:textId="28292AE1" w:rsidR="00DB3AD7" w:rsidRPr="008E530D" w:rsidRDefault="00DB3AD7" w:rsidP="00312463">
            <w:pPr>
              <w:rPr>
                <w:b/>
              </w:rPr>
            </w:pPr>
            <w:r w:rsidRPr="008E530D">
              <w:rPr>
                <w:b/>
              </w:rPr>
              <w:t>Step</w:t>
            </w:r>
          </w:p>
        </w:tc>
        <w:tc>
          <w:tcPr>
            <w:tcW w:w="8105" w:type="dxa"/>
            <w:shd w:val="clear" w:color="auto" w:fill="E7E6E6" w:themeFill="background2"/>
          </w:tcPr>
          <w:p w14:paraId="640A82E3" w14:textId="305B7470" w:rsidR="00DB3AD7" w:rsidRPr="008E530D" w:rsidRDefault="00DB3AD7" w:rsidP="00312463">
            <w:pPr>
              <w:rPr>
                <w:b/>
              </w:rPr>
            </w:pPr>
            <w:r w:rsidRPr="008E530D">
              <w:rPr>
                <w:b/>
              </w:rPr>
              <w:t>Description</w:t>
            </w:r>
          </w:p>
        </w:tc>
      </w:tr>
      <w:tr w:rsidR="00DB3AD7" w14:paraId="398A86B5" w14:textId="77777777" w:rsidTr="00A30AF8">
        <w:tc>
          <w:tcPr>
            <w:tcW w:w="1949" w:type="dxa"/>
          </w:tcPr>
          <w:p w14:paraId="3EA8DEDA" w14:textId="090A5161" w:rsidR="00DB3AD7" w:rsidRPr="00C55916" w:rsidRDefault="0031385B" w:rsidP="00312463">
            <w:pPr>
              <w:pStyle w:val="ListParagraph"/>
              <w:numPr>
                <w:ilvl w:val="0"/>
                <w:numId w:val="15"/>
              </w:numPr>
              <w:ind w:left="447"/>
              <w:rPr>
                <w:b/>
              </w:rPr>
            </w:pPr>
            <w:r>
              <w:rPr>
                <w:b/>
              </w:rPr>
              <w:t>Data Breach Suspected / Reported</w:t>
            </w:r>
          </w:p>
        </w:tc>
        <w:tc>
          <w:tcPr>
            <w:tcW w:w="8105" w:type="dxa"/>
          </w:tcPr>
          <w:p w14:paraId="007A305C" w14:textId="77777777" w:rsidR="000E1E49" w:rsidRDefault="0031385B" w:rsidP="00312463">
            <w:r>
              <w:t>The data subject, or any other party</w:t>
            </w:r>
            <w:r w:rsidR="00F032D3">
              <w:t xml:space="preserve"> reports a suspected or actual personal data breach.</w:t>
            </w:r>
          </w:p>
          <w:p w14:paraId="708126FF" w14:textId="69105268" w:rsidR="00F032D3" w:rsidRDefault="00F032D3" w:rsidP="00312463">
            <w:r>
              <w:t xml:space="preserve">All staff and volunteers of </w:t>
            </w:r>
            <w:r w:rsidR="00312463">
              <w:t>Greater London South Scout County</w:t>
            </w:r>
            <w:r>
              <w:t xml:space="preserve"> have a responsibility to immediately report any actual or suspected data breach. Failure to do so may result in disciplinary action being taken.</w:t>
            </w:r>
          </w:p>
          <w:p w14:paraId="32365891" w14:textId="77777777" w:rsidR="00312463" w:rsidRDefault="00312463" w:rsidP="00312463"/>
          <w:p w14:paraId="6F7A1528" w14:textId="3BBA658B" w:rsidR="00F47EF8" w:rsidRDefault="00F47EF8" w:rsidP="00312463">
            <w:r>
              <w:t xml:space="preserve">These should be reported to the </w:t>
            </w:r>
            <w:r w:rsidR="00312463">
              <w:t>Data Protection Lead</w:t>
            </w:r>
            <w:r>
              <w:t xml:space="preserve">. Any other member of staff or any other volunteer receiving such a report should </w:t>
            </w:r>
            <w:r w:rsidR="003C07AE">
              <w:t xml:space="preserve">request the reporting party to report the matter to the </w:t>
            </w:r>
            <w:r w:rsidR="00312463">
              <w:t>Data Protection Lead</w:t>
            </w:r>
            <w:r w:rsidR="00B13D4C">
              <w:t xml:space="preserve"> and copy the </w:t>
            </w:r>
            <w:r w:rsidR="00312463">
              <w:t>Data Protection Lead</w:t>
            </w:r>
            <w:r w:rsidR="00B13D4C">
              <w:t xml:space="preserve"> will all correspondence.</w:t>
            </w:r>
          </w:p>
        </w:tc>
      </w:tr>
      <w:tr w:rsidR="00DB3AD7" w14:paraId="5B570070" w14:textId="77777777" w:rsidTr="00A30AF8">
        <w:tc>
          <w:tcPr>
            <w:tcW w:w="1949" w:type="dxa"/>
          </w:tcPr>
          <w:p w14:paraId="125EAC3E" w14:textId="243560FF" w:rsidR="00DB3AD7" w:rsidRPr="00C55916" w:rsidRDefault="00B13D4C" w:rsidP="00312463">
            <w:pPr>
              <w:pStyle w:val="ListParagraph"/>
              <w:numPr>
                <w:ilvl w:val="0"/>
                <w:numId w:val="15"/>
              </w:numPr>
              <w:ind w:left="447"/>
              <w:rPr>
                <w:b/>
              </w:rPr>
            </w:pPr>
            <w:r>
              <w:rPr>
                <w:b/>
              </w:rPr>
              <w:t>Acknowledge Data Breach Investigation In</w:t>
            </w:r>
            <w:r w:rsidR="00AA6835">
              <w:rPr>
                <w:b/>
              </w:rPr>
              <w:t>itiated</w:t>
            </w:r>
          </w:p>
        </w:tc>
        <w:tc>
          <w:tcPr>
            <w:tcW w:w="8105" w:type="dxa"/>
          </w:tcPr>
          <w:p w14:paraId="5CF0F3D0" w14:textId="50DB2886" w:rsidR="002B4B44" w:rsidRDefault="00AA6835" w:rsidP="00312463">
            <w:r>
              <w:t xml:space="preserve">Upon receiving any report of an actual or suspected data breach, the </w:t>
            </w:r>
            <w:r w:rsidR="00312463">
              <w:t>Data Protection Lead</w:t>
            </w:r>
            <w:r>
              <w:t xml:space="preserve"> will initiate an investigation and will acknowledge that </w:t>
            </w:r>
            <w:r w:rsidR="00F13377">
              <w:t>the investigation has been initiated to the reporting party.</w:t>
            </w:r>
          </w:p>
          <w:p w14:paraId="4B2C028F" w14:textId="77777777" w:rsidR="00312463" w:rsidRDefault="00312463" w:rsidP="00312463"/>
          <w:p w14:paraId="429FA8B8" w14:textId="0CA3C5E8" w:rsidR="00FA1C34" w:rsidRDefault="00FA1C34" w:rsidP="00312463">
            <w:r>
              <w:t>All such investigations will be logged, including</w:t>
            </w:r>
            <w:r w:rsidR="00312463">
              <w:t>:</w:t>
            </w:r>
          </w:p>
          <w:p w14:paraId="01EC0191" w14:textId="77777777" w:rsidR="00312463" w:rsidRPr="00312463" w:rsidRDefault="00312463" w:rsidP="00312463">
            <w:pPr>
              <w:rPr>
                <w:sz w:val="12"/>
              </w:rPr>
            </w:pPr>
          </w:p>
          <w:p w14:paraId="01A7E7C9" w14:textId="19743D82" w:rsidR="00FA1C34" w:rsidRDefault="00FA1C34" w:rsidP="00312463">
            <w:pPr>
              <w:pStyle w:val="ListParagraph"/>
              <w:numPr>
                <w:ilvl w:val="0"/>
                <w:numId w:val="29"/>
              </w:numPr>
            </w:pPr>
            <w:r>
              <w:t>Time and date of suspected breach being reported</w:t>
            </w:r>
          </w:p>
          <w:p w14:paraId="1B686857" w14:textId="7827F7A8" w:rsidR="00FA1C34" w:rsidRDefault="00FA1C34" w:rsidP="00312463">
            <w:pPr>
              <w:pStyle w:val="ListParagraph"/>
              <w:numPr>
                <w:ilvl w:val="0"/>
                <w:numId w:val="29"/>
              </w:numPr>
            </w:pPr>
            <w:r>
              <w:t xml:space="preserve">Whether or not an actual breach </w:t>
            </w:r>
            <w:r w:rsidR="00DE70FD">
              <w:t>occurred</w:t>
            </w:r>
          </w:p>
          <w:p w14:paraId="76A2F448" w14:textId="43FE28C2" w:rsidR="00FA1C34" w:rsidRDefault="00FA1C34" w:rsidP="00312463">
            <w:pPr>
              <w:pStyle w:val="ListParagraph"/>
              <w:numPr>
                <w:ilvl w:val="0"/>
                <w:numId w:val="29"/>
              </w:numPr>
            </w:pPr>
            <w:r>
              <w:t>Whether or not any breach was reportable (and if not, why not)</w:t>
            </w:r>
          </w:p>
          <w:p w14:paraId="086E7B83" w14:textId="5604D890" w:rsidR="00EE3631" w:rsidRDefault="00EE3631" w:rsidP="00312463">
            <w:pPr>
              <w:pStyle w:val="ListParagraph"/>
              <w:numPr>
                <w:ilvl w:val="0"/>
                <w:numId w:val="29"/>
              </w:numPr>
            </w:pPr>
            <w:r>
              <w:t>When the breach was reported</w:t>
            </w:r>
          </w:p>
          <w:p w14:paraId="12F4F1B2" w14:textId="77777777" w:rsidR="00312463" w:rsidRDefault="00312463" w:rsidP="00312463">
            <w:pPr>
              <w:pStyle w:val="ListParagraph"/>
            </w:pPr>
          </w:p>
          <w:p w14:paraId="5E5A716C" w14:textId="02D47685" w:rsidR="00E51BFF" w:rsidRDefault="00E51BFF" w:rsidP="00312463">
            <w:r>
              <w:t xml:space="preserve">If further information is required (scope, nature, time/date and suspected cause of the actual or suspected breach) this will be </w:t>
            </w:r>
            <w:r w:rsidR="00F77FFA">
              <w:t>requested from the reporting party.</w:t>
            </w:r>
          </w:p>
          <w:p w14:paraId="2BD3808B" w14:textId="59E8FAED" w:rsidR="00F77FFA" w:rsidRDefault="00F77FFA" w:rsidP="00312463">
            <w:r>
              <w:t>Note that if the reporting party is NOT the data subject, the data subject may not be notified at this stage.</w:t>
            </w:r>
          </w:p>
          <w:p w14:paraId="59EF37F4" w14:textId="77777777" w:rsidR="00312463" w:rsidRDefault="00312463" w:rsidP="00312463"/>
          <w:p w14:paraId="39DA7870" w14:textId="49426E05" w:rsidR="00854886" w:rsidRDefault="00854886" w:rsidP="00312463">
            <w:r>
              <w:t>The appropriate Data Owner (Responsible Officer) should be informed of the actual or suspected breach.</w:t>
            </w:r>
          </w:p>
          <w:p w14:paraId="1483A29E" w14:textId="77777777" w:rsidR="00312463" w:rsidRDefault="00312463" w:rsidP="00312463"/>
          <w:p w14:paraId="55027BDF" w14:textId="1BDED908" w:rsidR="00F13377" w:rsidRPr="000C35B7" w:rsidRDefault="00F13377" w:rsidP="00312463">
            <w:r>
              <w:t>The County Commissioner and County Chair should also be informed.</w:t>
            </w:r>
          </w:p>
        </w:tc>
      </w:tr>
      <w:tr w:rsidR="00DB3AD7" w14:paraId="6C24F0EC" w14:textId="77777777" w:rsidTr="00A30AF8">
        <w:tc>
          <w:tcPr>
            <w:tcW w:w="1949" w:type="dxa"/>
          </w:tcPr>
          <w:p w14:paraId="33B8AE24" w14:textId="38988AA8" w:rsidR="00DB3AD7" w:rsidRPr="0074788D" w:rsidRDefault="00F13377" w:rsidP="00312463">
            <w:pPr>
              <w:pStyle w:val="ListParagraph"/>
              <w:numPr>
                <w:ilvl w:val="0"/>
                <w:numId w:val="15"/>
              </w:numPr>
              <w:ind w:left="447"/>
              <w:rPr>
                <w:b/>
              </w:rPr>
            </w:pPr>
            <w:r>
              <w:rPr>
                <w:b/>
              </w:rPr>
              <w:t>Identify Data</w:t>
            </w:r>
          </w:p>
        </w:tc>
        <w:tc>
          <w:tcPr>
            <w:tcW w:w="8105" w:type="dxa"/>
          </w:tcPr>
          <w:p w14:paraId="4EFD72AB" w14:textId="621CE54C" w:rsidR="00E42D76" w:rsidRDefault="00B9740D" w:rsidP="00312463">
            <w:r>
              <w:t xml:space="preserve">The Data Owner(s) (Responsible Officers) </w:t>
            </w:r>
            <w:r w:rsidR="00F77FFA">
              <w:t xml:space="preserve">will identify the </w:t>
            </w:r>
            <w:r w:rsidR="00257F56">
              <w:t xml:space="preserve">scope of the actual or suspected data breach. The county IT Administrator will provide support to identify the </w:t>
            </w:r>
            <w:r>
              <w:t>IT and information assets potentially involved.</w:t>
            </w:r>
          </w:p>
        </w:tc>
      </w:tr>
      <w:tr w:rsidR="00DB3AD7" w14:paraId="6B54F25A" w14:textId="77777777" w:rsidTr="00A30AF8">
        <w:tc>
          <w:tcPr>
            <w:tcW w:w="1949" w:type="dxa"/>
          </w:tcPr>
          <w:p w14:paraId="603B6FAA" w14:textId="11228402" w:rsidR="00DB3AD7" w:rsidRPr="003F788A" w:rsidRDefault="00B9740D" w:rsidP="00312463">
            <w:pPr>
              <w:pStyle w:val="ListParagraph"/>
              <w:numPr>
                <w:ilvl w:val="0"/>
                <w:numId w:val="15"/>
              </w:numPr>
              <w:ind w:left="447"/>
              <w:rPr>
                <w:b/>
              </w:rPr>
            </w:pPr>
            <w:r>
              <w:rPr>
                <w:b/>
              </w:rPr>
              <w:t>Data Breach Investigation</w:t>
            </w:r>
          </w:p>
        </w:tc>
        <w:tc>
          <w:tcPr>
            <w:tcW w:w="8105" w:type="dxa"/>
          </w:tcPr>
          <w:p w14:paraId="7527A3D3" w14:textId="190230FD" w:rsidR="00177BEE" w:rsidRDefault="00177BEE" w:rsidP="00312463">
            <w:r>
              <w:t>The county IT Administrator will provide support to identify the IT and information assets potentially involved.</w:t>
            </w:r>
          </w:p>
          <w:p w14:paraId="041E061F" w14:textId="77777777" w:rsidR="00312463" w:rsidRDefault="00312463" w:rsidP="00312463"/>
          <w:p w14:paraId="6048F577" w14:textId="0EDD8D2F" w:rsidR="00DB3AD7" w:rsidRDefault="00B9740D" w:rsidP="00312463">
            <w:r>
              <w:t xml:space="preserve">The Data Owner(s) (Responsible Officers) and the IT Administrator, assisted by other staff members or volunteers as required, will investigate the data breach to </w:t>
            </w:r>
            <w:r w:rsidR="00177BEE">
              <w:t xml:space="preserve">determine </w:t>
            </w:r>
            <w:proofErr w:type="gramStart"/>
            <w:r w:rsidR="00177BEE">
              <w:t>whether or not</w:t>
            </w:r>
            <w:proofErr w:type="gramEnd"/>
            <w:r w:rsidR="00177BEE">
              <w:t xml:space="preserve"> there has been a data privacy breach.</w:t>
            </w:r>
          </w:p>
          <w:p w14:paraId="647E0735" w14:textId="77777777" w:rsidR="00312463" w:rsidRDefault="00312463" w:rsidP="00312463"/>
          <w:p w14:paraId="20B4EB38" w14:textId="77777777" w:rsidR="006279B4" w:rsidRDefault="006279B4" w:rsidP="00312463">
            <w:r>
              <w:t>The following definition of a personal data breach should be considered.</w:t>
            </w:r>
          </w:p>
          <w:p w14:paraId="57B07D0A" w14:textId="77777777" w:rsidR="006279B4" w:rsidRDefault="006279B4" w:rsidP="00312463">
            <w:r w:rsidRPr="00DC15F4">
              <w:rPr>
                <w:i/>
              </w:rPr>
              <w:t>“A personal data breach may, if not addressed in an appropriate and timely manner, result in physical, material or non-material damage to natural persons such as loss of control over their personal data or limitation of their rights, discrimination, identity theft or fraud, financial loss, unauthorised reversal of pseudonymisation, damage to reputation, loss of confidentiality of personal data protected by professional secrecy or any other significant economic or social disadvantage to the natural person concerned.”</w:t>
            </w:r>
          </w:p>
          <w:p w14:paraId="372E76BB" w14:textId="77777777" w:rsidR="00312463" w:rsidRDefault="00312463" w:rsidP="00312463"/>
          <w:p w14:paraId="67ACFFEE" w14:textId="51E772DD" w:rsidR="00177BEE" w:rsidRDefault="00177BEE" w:rsidP="00312463">
            <w:r>
              <w:t>For data privacy to have been breached</w:t>
            </w:r>
            <w:r w:rsidR="009C0C18">
              <w:t xml:space="preserve"> it must </w:t>
            </w:r>
            <w:r w:rsidR="00814A62">
              <w:t>affect the</w:t>
            </w:r>
            <w:r w:rsidR="009C0C18">
              <w:t xml:space="preserve"> </w:t>
            </w:r>
            <w:r w:rsidR="00814A62" w:rsidRPr="00814A62">
              <w:t xml:space="preserve">confidentiality, integrity or availability of </w:t>
            </w:r>
            <w:r w:rsidR="009C0C18">
              <w:t xml:space="preserve">personal data </w:t>
            </w:r>
            <w:r w:rsidR="00814A62">
              <w:t>(</w:t>
            </w:r>
            <w:r w:rsidR="009C0C18">
              <w:t>relating to a natural individual</w:t>
            </w:r>
            <w:r w:rsidR="00814A62">
              <w:t>)</w:t>
            </w:r>
            <w:r w:rsidR="009C0C18">
              <w:t xml:space="preserve"> </w:t>
            </w:r>
            <w:r w:rsidR="000719F2">
              <w:t xml:space="preserve">which </w:t>
            </w:r>
            <w:r w:rsidR="006F7FBB">
              <w:t xml:space="preserve">involves </w:t>
            </w:r>
            <w:r w:rsidR="000719F2">
              <w:t>e.g.:</w:t>
            </w:r>
          </w:p>
          <w:p w14:paraId="78AE8E99" w14:textId="19687B97" w:rsidR="000719F2" w:rsidRDefault="006F7FBB" w:rsidP="00312463">
            <w:pPr>
              <w:pStyle w:val="ListParagraph"/>
              <w:numPr>
                <w:ilvl w:val="0"/>
                <w:numId w:val="28"/>
              </w:numPr>
            </w:pPr>
            <w:r>
              <w:t>A</w:t>
            </w:r>
            <w:r w:rsidR="000719F2">
              <w:t>ccess by an unauthorised third party;</w:t>
            </w:r>
          </w:p>
          <w:p w14:paraId="5BA18834" w14:textId="212C40A9" w:rsidR="000719F2" w:rsidRDefault="006F7FBB" w:rsidP="00312463">
            <w:pPr>
              <w:pStyle w:val="ListParagraph"/>
              <w:numPr>
                <w:ilvl w:val="0"/>
                <w:numId w:val="28"/>
              </w:numPr>
            </w:pPr>
            <w:r>
              <w:t>D</w:t>
            </w:r>
            <w:r w:rsidR="000719F2">
              <w:t>eliberate or accidental action (or inaction) by a controller or processor;</w:t>
            </w:r>
          </w:p>
          <w:p w14:paraId="5EF32036" w14:textId="14E02C8D" w:rsidR="000719F2" w:rsidRDefault="006F7FBB" w:rsidP="00312463">
            <w:pPr>
              <w:pStyle w:val="ListParagraph"/>
              <w:numPr>
                <w:ilvl w:val="0"/>
                <w:numId w:val="28"/>
              </w:numPr>
            </w:pPr>
            <w:r>
              <w:t>S</w:t>
            </w:r>
            <w:r w:rsidR="000719F2">
              <w:t>ending personal data to an incorrect recipient;</w:t>
            </w:r>
          </w:p>
          <w:p w14:paraId="302791FB" w14:textId="7BD154D7" w:rsidR="000719F2" w:rsidRDefault="006F7FBB" w:rsidP="00312463">
            <w:pPr>
              <w:pStyle w:val="ListParagraph"/>
              <w:numPr>
                <w:ilvl w:val="0"/>
                <w:numId w:val="28"/>
              </w:numPr>
            </w:pPr>
            <w:r>
              <w:lastRenderedPageBreak/>
              <w:t>C</w:t>
            </w:r>
            <w:r w:rsidR="000719F2">
              <w:t xml:space="preserve">omputing devices containing personal data being lost or stolen; </w:t>
            </w:r>
          </w:p>
          <w:p w14:paraId="79182644" w14:textId="37EC1E6E" w:rsidR="000719F2" w:rsidRDefault="006F7FBB" w:rsidP="00312463">
            <w:pPr>
              <w:pStyle w:val="ListParagraph"/>
              <w:numPr>
                <w:ilvl w:val="0"/>
                <w:numId w:val="28"/>
              </w:numPr>
            </w:pPr>
            <w:r>
              <w:t>A</w:t>
            </w:r>
            <w:r w:rsidR="000719F2">
              <w:t xml:space="preserve">lteration of personal data without permission; </w:t>
            </w:r>
            <w:r w:rsidR="00814A62">
              <w:t>or</w:t>
            </w:r>
          </w:p>
          <w:p w14:paraId="64403D1A" w14:textId="0C8DB3BC" w:rsidR="000719F2" w:rsidRDefault="00EE3631" w:rsidP="00312463">
            <w:pPr>
              <w:pStyle w:val="ListParagraph"/>
              <w:numPr>
                <w:ilvl w:val="0"/>
                <w:numId w:val="28"/>
              </w:numPr>
            </w:pPr>
            <w:r>
              <w:t>L</w:t>
            </w:r>
            <w:r w:rsidR="000719F2">
              <w:t>oss of availability of personal data</w:t>
            </w:r>
          </w:p>
          <w:p w14:paraId="3334F7EF" w14:textId="77777777" w:rsidR="00312463" w:rsidRDefault="00312463" w:rsidP="00312463">
            <w:pPr>
              <w:pStyle w:val="ListParagraph"/>
            </w:pPr>
          </w:p>
          <w:p w14:paraId="6337B62E" w14:textId="4D6372D2" w:rsidR="00177BEE" w:rsidRDefault="00642747" w:rsidP="00312463">
            <w:r>
              <w:t>Where possible, immediate steps should be taken to halt or minimise the scale of the data breach.</w:t>
            </w:r>
            <w:r w:rsidR="00C26F66">
              <w:t xml:space="preserve"> This may leverage any IT incident management procedures.</w:t>
            </w:r>
          </w:p>
        </w:tc>
      </w:tr>
      <w:tr w:rsidR="00DB3AD7" w14:paraId="5F1CBD3A" w14:textId="77777777" w:rsidTr="00A30AF8">
        <w:tc>
          <w:tcPr>
            <w:tcW w:w="1949" w:type="dxa"/>
          </w:tcPr>
          <w:p w14:paraId="34E25943" w14:textId="008784C6" w:rsidR="00DB3AD7" w:rsidRPr="00920FDD" w:rsidRDefault="00240B95" w:rsidP="00312463">
            <w:pPr>
              <w:pStyle w:val="ListParagraph"/>
              <w:numPr>
                <w:ilvl w:val="0"/>
                <w:numId w:val="15"/>
              </w:numPr>
              <w:ind w:left="447"/>
              <w:rPr>
                <w:b/>
              </w:rPr>
            </w:pPr>
            <w:r>
              <w:rPr>
                <w:b/>
              </w:rPr>
              <w:lastRenderedPageBreak/>
              <w:t>Receive Investigation Summary</w:t>
            </w:r>
          </w:p>
        </w:tc>
        <w:tc>
          <w:tcPr>
            <w:tcW w:w="8105" w:type="dxa"/>
          </w:tcPr>
          <w:p w14:paraId="6A872ED6" w14:textId="7A281C6F" w:rsidR="00F64B5A" w:rsidRDefault="00240B95" w:rsidP="00312463">
            <w:r>
              <w:t>If perso</w:t>
            </w:r>
            <w:r w:rsidR="00EB78FC">
              <w:t>n</w:t>
            </w:r>
            <w:r>
              <w:t>al data privacy was NOT breached</w:t>
            </w:r>
            <w:r w:rsidR="00EB78FC">
              <w:t xml:space="preserve">, the Data Owner(s) (Responsible Officers) should send </w:t>
            </w:r>
            <w:proofErr w:type="gramStart"/>
            <w:r w:rsidR="00EB78FC">
              <w:t>a brief summary</w:t>
            </w:r>
            <w:proofErr w:type="gramEnd"/>
            <w:r w:rsidR="00545FA6">
              <w:t xml:space="preserve"> of the investigation to the </w:t>
            </w:r>
            <w:r w:rsidR="00312463">
              <w:t>Data Protection Lead</w:t>
            </w:r>
            <w:r w:rsidR="00545FA6">
              <w:t>, including the reasons for concluding that personal data privacy was not breached</w:t>
            </w:r>
          </w:p>
        </w:tc>
      </w:tr>
      <w:tr w:rsidR="00DB3AD7" w14:paraId="7AC7667A" w14:textId="77777777" w:rsidTr="00A30AF8">
        <w:tc>
          <w:tcPr>
            <w:tcW w:w="1949" w:type="dxa"/>
          </w:tcPr>
          <w:p w14:paraId="6C945314" w14:textId="137D9EFF" w:rsidR="00DB3AD7" w:rsidRPr="005F03A2" w:rsidRDefault="00545FA6" w:rsidP="00312463">
            <w:pPr>
              <w:pStyle w:val="ListParagraph"/>
              <w:numPr>
                <w:ilvl w:val="0"/>
                <w:numId w:val="15"/>
              </w:numPr>
              <w:ind w:left="447"/>
              <w:rPr>
                <w:b/>
              </w:rPr>
            </w:pPr>
            <w:r>
              <w:rPr>
                <w:b/>
              </w:rPr>
              <w:t>Receive Feedback</w:t>
            </w:r>
          </w:p>
        </w:tc>
        <w:tc>
          <w:tcPr>
            <w:tcW w:w="8105" w:type="dxa"/>
          </w:tcPr>
          <w:p w14:paraId="12B6F2E1" w14:textId="12184DFD" w:rsidR="001B7391" w:rsidRDefault="00545FA6" w:rsidP="00312463">
            <w:r>
              <w:t xml:space="preserve">If personal data privacy was NOT breached, the </w:t>
            </w:r>
            <w:r w:rsidR="00312463">
              <w:t>Data Protection Lead</w:t>
            </w:r>
            <w:r>
              <w:t xml:space="preserve"> should send </w:t>
            </w:r>
            <w:proofErr w:type="gramStart"/>
            <w:r>
              <w:t>a brief summary</w:t>
            </w:r>
            <w:proofErr w:type="gramEnd"/>
            <w:r>
              <w:t xml:space="preserve"> of the investigation to the reporting party, including the reasons for concluding that personal data privacy was not breached</w:t>
            </w:r>
            <w:r w:rsidR="00C818BA">
              <w:t>.</w:t>
            </w:r>
          </w:p>
          <w:p w14:paraId="4974A54C" w14:textId="77777777" w:rsidR="00312463" w:rsidRDefault="00312463" w:rsidP="00312463"/>
          <w:p w14:paraId="11440D85" w14:textId="0F90542B" w:rsidR="00C818BA" w:rsidRPr="00927193" w:rsidRDefault="00C818BA" w:rsidP="00312463">
            <w:r>
              <w:t>The County Commissioner and County Chair should also be informed.</w:t>
            </w:r>
          </w:p>
        </w:tc>
      </w:tr>
      <w:tr w:rsidR="0073512E" w14:paraId="0862F6B0" w14:textId="77777777" w:rsidTr="00A30AF8">
        <w:tc>
          <w:tcPr>
            <w:tcW w:w="1949" w:type="dxa"/>
          </w:tcPr>
          <w:p w14:paraId="3DFD7948" w14:textId="0E243902" w:rsidR="0073512E" w:rsidRDefault="00545FA6" w:rsidP="00312463">
            <w:pPr>
              <w:pStyle w:val="ListParagraph"/>
              <w:numPr>
                <w:ilvl w:val="0"/>
                <w:numId w:val="15"/>
              </w:numPr>
              <w:ind w:left="447"/>
              <w:rPr>
                <w:b/>
              </w:rPr>
            </w:pPr>
            <w:r>
              <w:rPr>
                <w:b/>
              </w:rPr>
              <w:t>Statutory Notification</w:t>
            </w:r>
          </w:p>
        </w:tc>
        <w:tc>
          <w:tcPr>
            <w:tcW w:w="8105" w:type="dxa"/>
          </w:tcPr>
          <w:p w14:paraId="23B4C81C" w14:textId="1AF62BE7" w:rsidR="00664F24" w:rsidRDefault="00C818BA" w:rsidP="00312463">
            <w:r>
              <w:t xml:space="preserve">If personal data privacy WAS breached, the impact of the breach should be determined by the </w:t>
            </w:r>
            <w:r w:rsidR="00312463">
              <w:t>Data Protection Lead</w:t>
            </w:r>
            <w:r>
              <w:t xml:space="preserve">. </w:t>
            </w:r>
            <w:r w:rsidR="00E205B3">
              <w:t xml:space="preserve">If the </w:t>
            </w:r>
            <w:r w:rsidR="00312463">
              <w:t>Data Protection Lead</w:t>
            </w:r>
            <w:r w:rsidR="00E205B3">
              <w:t xml:space="preserve"> determines that the rights and freedoms of the data subject have been infringed it is likely that the breach should be reported.</w:t>
            </w:r>
          </w:p>
          <w:p w14:paraId="70FF07D8" w14:textId="77777777" w:rsidR="00312463" w:rsidRDefault="00312463" w:rsidP="00312463"/>
          <w:p w14:paraId="63C8B62B" w14:textId="02DCDBE3" w:rsidR="00DC15F4" w:rsidRDefault="00FA1C34" w:rsidP="00312463">
            <w:r>
              <w:t xml:space="preserve">If it is considered that </w:t>
            </w:r>
            <w:r w:rsidR="00EE3631">
              <w:t xml:space="preserve">the breach is </w:t>
            </w:r>
            <w:r w:rsidR="00EE3631">
              <w:rPr>
                <w:i/>
              </w:rPr>
              <w:t>not</w:t>
            </w:r>
            <w:r w:rsidR="00EE3631">
              <w:t xml:space="preserve"> reportable to the ICO, the reason for this conclusion must be logged.</w:t>
            </w:r>
          </w:p>
          <w:p w14:paraId="6DEC5506" w14:textId="77777777" w:rsidR="00312463" w:rsidRDefault="00312463" w:rsidP="00312463"/>
          <w:p w14:paraId="5D891707" w14:textId="1E86C4EA" w:rsidR="00EE3631" w:rsidRDefault="00EE3631" w:rsidP="00312463">
            <w:r>
              <w:t xml:space="preserve">If the breach is reportable </w:t>
            </w:r>
            <w:r w:rsidR="009673DC">
              <w:t xml:space="preserve">(via </w:t>
            </w:r>
            <w:hyperlink r:id="rId10" w:history="1">
              <w:r w:rsidR="009673DC" w:rsidRPr="00D52740">
                <w:rPr>
                  <w:rStyle w:val="Hyperlink"/>
                </w:rPr>
                <w:t>https://ico.org.uk/for-organisations/report-a-breach/</w:t>
              </w:r>
            </w:hyperlink>
            <w:r w:rsidR="009673DC">
              <w:t xml:space="preserve"> )</w:t>
            </w:r>
            <w:r w:rsidR="00B3604C">
              <w:t xml:space="preserve"> </w:t>
            </w:r>
            <w:r>
              <w:t>it should be reported to the ICO within 72 hours where feasible</w:t>
            </w:r>
            <w:r w:rsidR="006A4791">
              <w:t>. If this is not feasible, the reasons for the delay should also be reported.</w:t>
            </w:r>
          </w:p>
          <w:p w14:paraId="333D079F" w14:textId="77777777" w:rsidR="00312463" w:rsidRDefault="00312463" w:rsidP="00312463"/>
          <w:p w14:paraId="764BEF4A" w14:textId="475A2498" w:rsidR="006A4791" w:rsidRDefault="006A4791" w:rsidP="00312463">
            <w:r>
              <w:t>The following information should be reported to the ICO:</w:t>
            </w:r>
          </w:p>
          <w:p w14:paraId="683AC025" w14:textId="77777777" w:rsidR="00312463" w:rsidRPr="00312463" w:rsidRDefault="00312463" w:rsidP="00312463">
            <w:pPr>
              <w:rPr>
                <w:sz w:val="12"/>
              </w:rPr>
            </w:pPr>
          </w:p>
          <w:p w14:paraId="179C8EBD" w14:textId="386B73D9" w:rsidR="000C2690" w:rsidRDefault="000C2690" w:rsidP="00312463">
            <w:pPr>
              <w:pStyle w:val="ListParagraph"/>
              <w:numPr>
                <w:ilvl w:val="0"/>
                <w:numId w:val="30"/>
              </w:numPr>
            </w:pPr>
            <w:r>
              <w:t>A description of the nature of the personal data breach including, where possible:</w:t>
            </w:r>
          </w:p>
          <w:p w14:paraId="6C1CB143" w14:textId="22A39720" w:rsidR="000C2690" w:rsidRDefault="000C2690" w:rsidP="00312463">
            <w:pPr>
              <w:pStyle w:val="ListParagraph"/>
              <w:numPr>
                <w:ilvl w:val="1"/>
                <w:numId w:val="30"/>
              </w:numPr>
            </w:pPr>
            <w:r>
              <w:t>The categories and approximate number of individuals concerned; and</w:t>
            </w:r>
          </w:p>
          <w:p w14:paraId="7E8493EC" w14:textId="77777777" w:rsidR="00146BDD" w:rsidRDefault="000C2690" w:rsidP="00312463">
            <w:pPr>
              <w:pStyle w:val="ListParagraph"/>
              <w:numPr>
                <w:ilvl w:val="1"/>
                <w:numId w:val="30"/>
              </w:numPr>
            </w:pPr>
            <w:r>
              <w:t>The categories and approximate number of personal data records concerned;</w:t>
            </w:r>
          </w:p>
          <w:p w14:paraId="7E3EA085" w14:textId="2B00DD8A" w:rsidR="000C2690" w:rsidRDefault="00146BDD" w:rsidP="00312463">
            <w:pPr>
              <w:pStyle w:val="ListParagraph"/>
              <w:numPr>
                <w:ilvl w:val="0"/>
                <w:numId w:val="30"/>
              </w:numPr>
            </w:pPr>
            <w:r>
              <w:t>T</w:t>
            </w:r>
            <w:r w:rsidR="000C2690">
              <w:t xml:space="preserve">he name and contact details of the </w:t>
            </w:r>
            <w:r w:rsidR="00312463">
              <w:t>Data Protection Lead</w:t>
            </w:r>
            <w:r w:rsidR="000C2690">
              <w:t xml:space="preserve"> or other contact point where more information can be obtained;</w:t>
            </w:r>
          </w:p>
          <w:p w14:paraId="43A0F977" w14:textId="781C8DCF" w:rsidR="000C2690" w:rsidRDefault="00146BDD" w:rsidP="00312463">
            <w:pPr>
              <w:pStyle w:val="ListParagraph"/>
              <w:numPr>
                <w:ilvl w:val="0"/>
                <w:numId w:val="30"/>
              </w:numPr>
            </w:pPr>
            <w:r>
              <w:t>A</w:t>
            </w:r>
            <w:r w:rsidR="000C2690">
              <w:t xml:space="preserve"> description of the likely consequences of the personal data breach;</w:t>
            </w:r>
          </w:p>
          <w:p w14:paraId="3C604216" w14:textId="30EA3EFB" w:rsidR="006A4791" w:rsidRDefault="00146BDD" w:rsidP="00312463">
            <w:pPr>
              <w:pStyle w:val="ListParagraph"/>
              <w:numPr>
                <w:ilvl w:val="0"/>
                <w:numId w:val="30"/>
              </w:numPr>
            </w:pPr>
            <w:r>
              <w:t>A</w:t>
            </w:r>
            <w:r w:rsidR="000C2690">
              <w:t xml:space="preserve"> description of the measures taken, or proposed to be taken, to deal with the personal data breach, including, where appropriate, the measures taken to mitigate any possible adverse effects</w:t>
            </w:r>
          </w:p>
          <w:p w14:paraId="257F0079" w14:textId="77777777" w:rsidR="00312463" w:rsidRDefault="00312463" w:rsidP="00312463">
            <w:pPr>
              <w:pStyle w:val="ListParagraph"/>
            </w:pPr>
          </w:p>
          <w:p w14:paraId="1313E5DA" w14:textId="1441DAE8" w:rsidR="00146BDD" w:rsidRDefault="00146BDD" w:rsidP="00312463">
            <w:r>
              <w:t>Where this information is not fully available, reporting may be completed in phases with a minimal delay.</w:t>
            </w:r>
          </w:p>
          <w:p w14:paraId="3D77AB8E" w14:textId="77777777" w:rsidR="00312463" w:rsidRDefault="00312463" w:rsidP="00312463"/>
          <w:p w14:paraId="40228C08" w14:textId="2686A612" w:rsidR="00B12485" w:rsidRPr="00EE3631" w:rsidRDefault="00B12485" w:rsidP="00312463">
            <w:r>
              <w:t>Evidence of notification, including time and date of notification, should be retained in all cases.</w:t>
            </w:r>
          </w:p>
        </w:tc>
      </w:tr>
      <w:tr w:rsidR="0073512E" w14:paraId="74D0450B" w14:textId="77777777" w:rsidTr="00A30AF8">
        <w:tc>
          <w:tcPr>
            <w:tcW w:w="1949" w:type="dxa"/>
          </w:tcPr>
          <w:p w14:paraId="579E6101" w14:textId="381182E1" w:rsidR="0073512E" w:rsidRDefault="00357AA0" w:rsidP="00312463">
            <w:pPr>
              <w:pStyle w:val="ListParagraph"/>
              <w:numPr>
                <w:ilvl w:val="0"/>
                <w:numId w:val="15"/>
              </w:numPr>
              <w:ind w:left="447"/>
              <w:rPr>
                <w:b/>
              </w:rPr>
            </w:pPr>
            <w:r>
              <w:rPr>
                <w:b/>
              </w:rPr>
              <w:t>Receive Confirmation</w:t>
            </w:r>
          </w:p>
        </w:tc>
        <w:tc>
          <w:tcPr>
            <w:tcW w:w="8105" w:type="dxa"/>
          </w:tcPr>
          <w:p w14:paraId="40A8A6F5" w14:textId="32FD460C" w:rsidR="0073512E" w:rsidRDefault="00357AA0" w:rsidP="00312463">
            <w:r w:rsidRPr="00357AA0">
              <w:t xml:space="preserve">If personal data privacy </w:t>
            </w:r>
            <w:r>
              <w:t>WAS</w:t>
            </w:r>
            <w:r w:rsidRPr="00357AA0">
              <w:t xml:space="preserve"> breached, the </w:t>
            </w:r>
            <w:r w:rsidR="00312463">
              <w:t>Data Protection Lead</w:t>
            </w:r>
            <w:r w:rsidRPr="00357AA0">
              <w:t xml:space="preserve"> should send </w:t>
            </w:r>
            <w:proofErr w:type="gramStart"/>
            <w:r w:rsidRPr="00357AA0">
              <w:t>a brief summary</w:t>
            </w:r>
            <w:proofErr w:type="gramEnd"/>
            <w:r w:rsidR="00CF356E">
              <w:t xml:space="preserve"> to the</w:t>
            </w:r>
            <w:r w:rsidRPr="00357AA0">
              <w:t xml:space="preserve"> </w:t>
            </w:r>
            <w:r>
              <w:t>reporting party</w:t>
            </w:r>
            <w:r w:rsidRPr="00357AA0">
              <w:t xml:space="preserve">, </w:t>
            </w:r>
            <w:r>
              <w:t>confirming that the matter is being treated as a data privacy breach</w:t>
            </w:r>
            <w:r w:rsidR="00B12485">
              <w:t>.</w:t>
            </w:r>
          </w:p>
          <w:p w14:paraId="3974FD92" w14:textId="77777777" w:rsidR="00312463" w:rsidRDefault="00312463" w:rsidP="00312463"/>
          <w:p w14:paraId="71FC3D80" w14:textId="78DFF221" w:rsidR="00B12485" w:rsidRDefault="00B12485" w:rsidP="00312463">
            <w:r>
              <w:t>The County Commissioner and County Chair should also be informed.</w:t>
            </w:r>
          </w:p>
        </w:tc>
      </w:tr>
    </w:tbl>
    <w:p w14:paraId="5CA724EF" w14:textId="77777777" w:rsidR="00312463" w:rsidRDefault="00312463">
      <w:r>
        <w:br w:type="page"/>
      </w:r>
    </w:p>
    <w:tbl>
      <w:tblPr>
        <w:tblStyle w:val="TableGrid"/>
        <w:tblW w:w="0" w:type="auto"/>
        <w:tblLook w:val="04A0" w:firstRow="1" w:lastRow="0" w:firstColumn="1" w:lastColumn="0" w:noHBand="0" w:noVBand="1"/>
      </w:tblPr>
      <w:tblGrid>
        <w:gridCol w:w="1949"/>
        <w:gridCol w:w="8105"/>
      </w:tblGrid>
      <w:tr w:rsidR="0073512E" w14:paraId="4375435B" w14:textId="77777777" w:rsidTr="00A30AF8">
        <w:tc>
          <w:tcPr>
            <w:tcW w:w="1949" w:type="dxa"/>
          </w:tcPr>
          <w:p w14:paraId="74F5A669" w14:textId="5830A141" w:rsidR="0073512E" w:rsidRDefault="00357AA0" w:rsidP="00312463">
            <w:pPr>
              <w:pStyle w:val="ListParagraph"/>
              <w:numPr>
                <w:ilvl w:val="0"/>
                <w:numId w:val="15"/>
              </w:numPr>
              <w:ind w:left="447"/>
              <w:rPr>
                <w:b/>
              </w:rPr>
            </w:pPr>
            <w:r>
              <w:rPr>
                <w:b/>
              </w:rPr>
              <w:lastRenderedPageBreak/>
              <w:t>Receive Notification</w:t>
            </w:r>
          </w:p>
        </w:tc>
        <w:tc>
          <w:tcPr>
            <w:tcW w:w="8105" w:type="dxa"/>
          </w:tcPr>
          <w:p w14:paraId="18AEE127" w14:textId="77777777" w:rsidR="0073512E" w:rsidRDefault="008609BC" w:rsidP="00312463">
            <w:r w:rsidRPr="00357AA0">
              <w:t xml:space="preserve">If personal data privacy </w:t>
            </w:r>
            <w:r>
              <w:t>WAS</w:t>
            </w:r>
            <w:r w:rsidRPr="00357AA0">
              <w:t xml:space="preserve"> breached</w:t>
            </w:r>
            <w:r w:rsidR="00AF1F75">
              <w:t xml:space="preserve"> and the breach is considered of sufficiently high risk to </w:t>
            </w:r>
            <w:r w:rsidR="00285054">
              <w:t xml:space="preserve">the </w:t>
            </w:r>
            <w:r w:rsidR="00700C83">
              <w:t xml:space="preserve">rights and freedoms of the </w:t>
            </w:r>
            <w:r w:rsidR="00AF1F75">
              <w:t>indiv</w:t>
            </w:r>
            <w:r w:rsidR="00700C83">
              <w:t>i</w:t>
            </w:r>
            <w:r w:rsidR="00AF1F75">
              <w:t xml:space="preserve">dual </w:t>
            </w:r>
            <w:r w:rsidR="00700C83">
              <w:t xml:space="preserve">such that they </w:t>
            </w:r>
            <w:r w:rsidR="00AF1F75">
              <w:t xml:space="preserve">may need to take steps to further protect themselves </w:t>
            </w:r>
            <w:r w:rsidR="00700C83">
              <w:t>(e.g</w:t>
            </w:r>
            <w:r w:rsidR="00AA0134">
              <w:t>.</w:t>
            </w:r>
            <w:r w:rsidR="00700C83">
              <w:t xml:space="preserve"> loss of financial, health</w:t>
            </w:r>
            <w:r w:rsidR="00AA0134">
              <w:t xml:space="preserve"> or confidential contact details, or where safety or safeguarding is at risk)</w:t>
            </w:r>
            <w:r w:rsidR="00EA170A">
              <w:t xml:space="preserve"> the data subject(s)</w:t>
            </w:r>
            <w:r w:rsidR="00285054">
              <w:t xml:space="preserve"> must be advised.</w:t>
            </w:r>
          </w:p>
          <w:p w14:paraId="613C526A" w14:textId="1340DB5D" w:rsidR="00285054" w:rsidRDefault="00285054" w:rsidP="00312463">
            <w:r>
              <w:t>Such notification should include:</w:t>
            </w:r>
          </w:p>
          <w:p w14:paraId="3A2C3FE6" w14:textId="77777777" w:rsidR="00312463" w:rsidRPr="00312463" w:rsidRDefault="00312463" w:rsidP="00312463">
            <w:pPr>
              <w:rPr>
                <w:sz w:val="12"/>
              </w:rPr>
            </w:pPr>
          </w:p>
          <w:p w14:paraId="7BD1D355" w14:textId="59302084" w:rsidR="000963B9" w:rsidRDefault="000963B9" w:rsidP="00312463">
            <w:pPr>
              <w:pStyle w:val="ListParagraph"/>
              <w:numPr>
                <w:ilvl w:val="0"/>
                <w:numId w:val="31"/>
              </w:numPr>
            </w:pPr>
            <w:r>
              <w:t xml:space="preserve">The name and contact details of our </w:t>
            </w:r>
            <w:r w:rsidR="00312463">
              <w:t>Data Protection Lead</w:t>
            </w:r>
            <w:r>
              <w:t xml:space="preserve"> or other contact point where more information can be obtained;</w:t>
            </w:r>
          </w:p>
          <w:p w14:paraId="2EC4F6C3" w14:textId="77777777" w:rsidR="00B3604C" w:rsidRDefault="000963B9" w:rsidP="00312463">
            <w:pPr>
              <w:pStyle w:val="ListParagraph"/>
              <w:numPr>
                <w:ilvl w:val="0"/>
                <w:numId w:val="31"/>
              </w:numPr>
            </w:pPr>
            <w:r>
              <w:t>A description of the likely consequences of the personal data breach</w:t>
            </w:r>
          </w:p>
          <w:p w14:paraId="2C3727E2" w14:textId="4E9C2E79" w:rsidR="00285054" w:rsidRDefault="000963B9" w:rsidP="00312463">
            <w:pPr>
              <w:pStyle w:val="ListParagraph"/>
              <w:numPr>
                <w:ilvl w:val="0"/>
                <w:numId w:val="31"/>
              </w:numPr>
            </w:pPr>
            <w:r>
              <w:t>A description of the measures taken, or proposed to be taken, to deal with the personal data breach and including, where appropriate, of the measures taken to mitigate any possible adverse effects.</w:t>
            </w:r>
          </w:p>
          <w:p w14:paraId="58AFC294" w14:textId="77777777" w:rsidR="00312463" w:rsidRDefault="00312463" w:rsidP="00312463">
            <w:pPr>
              <w:pStyle w:val="ListParagraph"/>
            </w:pPr>
            <w:bookmarkStart w:id="0" w:name="_GoBack"/>
            <w:bookmarkEnd w:id="0"/>
          </w:p>
          <w:p w14:paraId="0EFE0E3F" w14:textId="11F29B7A" w:rsidR="00B12485" w:rsidRDefault="00B12485" w:rsidP="00312463">
            <w:r>
              <w:t>Evidence of notification, including time and date of notification, should be retained in all cases</w:t>
            </w:r>
          </w:p>
        </w:tc>
      </w:tr>
      <w:tr w:rsidR="0073512E" w14:paraId="3F7C9FC0" w14:textId="77777777" w:rsidTr="00A30AF8">
        <w:tc>
          <w:tcPr>
            <w:tcW w:w="1949" w:type="dxa"/>
          </w:tcPr>
          <w:p w14:paraId="04A5C3F1" w14:textId="36D3F7A5" w:rsidR="0073512E" w:rsidRDefault="00B3604C" w:rsidP="00312463">
            <w:pPr>
              <w:pStyle w:val="ListParagraph"/>
              <w:numPr>
                <w:ilvl w:val="0"/>
                <w:numId w:val="15"/>
              </w:numPr>
              <w:ind w:left="447"/>
              <w:rPr>
                <w:b/>
              </w:rPr>
            </w:pPr>
            <w:r>
              <w:rPr>
                <w:b/>
              </w:rPr>
              <w:t>Receive Notification</w:t>
            </w:r>
          </w:p>
        </w:tc>
        <w:tc>
          <w:tcPr>
            <w:tcW w:w="8105" w:type="dxa"/>
          </w:tcPr>
          <w:p w14:paraId="665AABC5" w14:textId="5D60AFAB" w:rsidR="003E04CA" w:rsidRDefault="00B3604C" w:rsidP="00312463">
            <w:r>
              <w:t>The ICO should acknowledge</w:t>
            </w:r>
            <w:r w:rsidR="002176C2">
              <w:t xml:space="preserve"> receipt of any </w:t>
            </w:r>
            <w:r w:rsidR="00B12485">
              <w:t>data breach notification and a record of receipt should be retained</w:t>
            </w:r>
            <w:r w:rsidR="00AD65F5">
              <w:t xml:space="preserve"> with time and date evidence.</w:t>
            </w:r>
          </w:p>
        </w:tc>
      </w:tr>
      <w:tr w:rsidR="0073512E" w14:paraId="21BC5DDD" w14:textId="77777777" w:rsidTr="00A30AF8">
        <w:tc>
          <w:tcPr>
            <w:tcW w:w="1949" w:type="dxa"/>
          </w:tcPr>
          <w:p w14:paraId="2B0953E8" w14:textId="17A18A7C" w:rsidR="0073512E" w:rsidRDefault="00AD65F5" w:rsidP="00312463">
            <w:pPr>
              <w:pStyle w:val="ListParagraph"/>
              <w:numPr>
                <w:ilvl w:val="0"/>
                <w:numId w:val="15"/>
              </w:numPr>
              <w:ind w:left="447"/>
              <w:rPr>
                <w:b/>
              </w:rPr>
            </w:pPr>
            <w:r>
              <w:rPr>
                <w:b/>
              </w:rPr>
              <w:t>Corrective / Preventative Measures</w:t>
            </w:r>
          </w:p>
        </w:tc>
        <w:tc>
          <w:tcPr>
            <w:tcW w:w="8105" w:type="dxa"/>
          </w:tcPr>
          <w:p w14:paraId="4F186F6D" w14:textId="77777777" w:rsidR="002523CF" w:rsidRDefault="004D3F57" w:rsidP="00312463">
            <w:r w:rsidRPr="00357AA0">
              <w:t xml:space="preserve">If personal data privacy </w:t>
            </w:r>
            <w:r>
              <w:t>WAS</w:t>
            </w:r>
            <w:r w:rsidRPr="00357AA0">
              <w:t xml:space="preserve"> breached</w:t>
            </w:r>
            <w:r>
              <w:t>, in additional to any immediate action taken a full root cause analysis should be conducted in accordance with any applicable corrective and preventative action or IT</w:t>
            </w:r>
            <w:r w:rsidR="00C26F66">
              <w:t xml:space="preserve"> problem management procedures</w:t>
            </w:r>
            <w:r w:rsidR="00EC645D">
              <w:t>.</w:t>
            </w:r>
          </w:p>
          <w:p w14:paraId="1FE4A5E1" w14:textId="7D72AD88" w:rsidR="00EC645D" w:rsidRDefault="00EC645D" w:rsidP="00312463">
            <w:r>
              <w:t xml:space="preserve">Corrective actions should be taken to secure any further personal data breaches. Based upon the root cause analysis, preventative measures may be taken to prevent or minimise the likelihood or the same or any similar reoccurrences. This may </w:t>
            </w:r>
            <w:proofErr w:type="gramStart"/>
            <w:r>
              <w:t>involves</w:t>
            </w:r>
            <w:proofErr w:type="gramEnd"/>
            <w:r>
              <w:t xml:space="preserve"> I</w:t>
            </w:r>
            <w:r w:rsidR="00AD2B74">
              <w:t>T</w:t>
            </w:r>
            <w:r>
              <w:t xml:space="preserve"> change management or configuration management processes</w:t>
            </w:r>
          </w:p>
        </w:tc>
      </w:tr>
    </w:tbl>
    <w:p w14:paraId="1C1D3237" w14:textId="4F822B2F" w:rsidR="006C051D" w:rsidRDefault="006C051D" w:rsidP="00312463">
      <w:pPr>
        <w:spacing w:after="0" w:line="240" w:lineRule="auto"/>
        <w:rPr>
          <w:b/>
          <w:sz w:val="28"/>
        </w:rPr>
      </w:pPr>
    </w:p>
    <w:p w14:paraId="7BDAF6DA" w14:textId="7173F581" w:rsidR="008056D3" w:rsidRPr="00E161D5" w:rsidRDefault="008056D3" w:rsidP="00312463">
      <w:pPr>
        <w:spacing w:after="0" w:line="240" w:lineRule="auto"/>
      </w:pPr>
    </w:p>
    <w:sectPr w:rsidR="008056D3" w:rsidRPr="00E161D5" w:rsidSect="0026136A">
      <w:pgSz w:w="11906" w:h="16838"/>
      <w:pgMar w:top="709" w:right="991"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6348"/>
    <w:multiLevelType w:val="hybridMultilevel"/>
    <w:tmpl w:val="3C9A4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81294"/>
    <w:multiLevelType w:val="hybridMultilevel"/>
    <w:tmpl w:val="F0A68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C42A1"/>
    <w:multiLevelType w:val="hybridMultilevel"/>
    <w:tmpl w:val="CB3E8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415A3"/>
    <w:multiLevelType w:val="hybridMultilevel"/>
    <w:tmpl w:val="7C6CC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848B6"/>
    <w:multiLevelType w:val="hybridMultilevel"/>
    <w:tmpl w:val="686C9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E7242E"/>
    <w:multiLevelType w:val="hybridMultilevel"/>
    <w:tmpl w:val="5E987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5045C5"/>
    <w:multiLevelType w:val="hybridMultilevel"/>
    <w:tmpl w:val="CB981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D6707C"/>
    <w:multiLevelType w:val="hybridMultilevel"/>
    <w:tmpl w:val="04C68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B1160E"/>
    <w:multiLevelType w:val="hybridMultilevel"/>
    <w:tmpl w:val="19B6E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73714F"/>
    <w:multiLevelType w:val="hybridMultilevel"/>
    <w:tmpl w:val="64129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932E65"/>
    <w:multiLevelType w:val="hybridMultilevel"/>
    <w:tmpl w:val="23829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E307FC"/>
    <w:multiLevelType w:val="hybridMultilevel"/>
    <w:tmpl w:val="F2FA0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A70061"/>
    <w:multiLevelType w:val="hybridMultilevel"/>
    <w:tmpl w:val="5B564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897974"/>
    <w:multiLevelType w:val="hybridMultilevel"/>
    <w:tmpl w:val="7264F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9E3206"/>
    <w:multiLevelType w:val="hybridMultilevel"/>
    <w:tmpl w:val="A2203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F76D11"/>
    <w:multiLevelType w:val="hybridMultilevel"/>
    <w:tmpl w:val="DDA8F1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597B45"/>
    <w:multiLevelType w:val="hybridMultilevel"/>
    <w:tmpl w:val="9EE43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7E4F0A"/>
    <w:multiLevelType w:val="hybridMultilevel"/>
    <w:tmpl w:val="E0D04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372FB7"/>
    <w:multiLevelType w:val="hybridMultilevel"/>
    <w:tmpl w:val="9364D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CA1128"/>
    <w:multiLevelType w:val="hybridMultilevel"/>
    <w:tmpl w:val="A3BE2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97243D"/>
    <w:multiLevelType w:val="hybridMultilevel"/>
    <w:tmpl w:val="E65A9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C87085"/>
    <w:multiLevelType w:val="hybridMultilevel"/>
    <w:tmpl w:val="D3AC2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684EFF"/>
    <w:multiLevelType w:val="hybridMultilevel"/>
    <w:tmpl w:val="B1661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F553EB"/>
    <w:multiLevelType w:val="hybridMultilevel"/>
    <w:tmpl w:val="5DEEE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0774E4"/>
    <w:multiLevelType w:val="hybridMultilevel"/>
    <w:tmpl w:val="65329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E117D7"/>
    <w:multiLevelType w:val="hybridMultilevel"/>
    <w:tmpl w:val="A9CC7C9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6BE861D3"/>
    <w:multiLevelType w:val="hybridMultilevel"/>
    <w:tmpl w:val="A75E2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8C1D71"/>
    <w:multiLevelType w:val="hybridMultilevel"/>
    <w:tmpl w:val="23748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EA70E9"/>
    <w:multiLevelType w:val="hybridMultilevel"/>
    <w:tmpl w:val="EE90C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B35D4A"/>
    <w:multiLevelType w:val="hybridMultilevel"/>
    <w:tmpl w:val="51549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5635AE"/>
    <w:multiLevelType w:val="hybridMultilevel"/>
    <w:tmpl w:val="28083A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6"/>
  </w:num>
  <w:num w:numId="3">
    <w:abstractNumId w:val="19"/>
  </w:num>
  <w:num w:numId="4">
    <w:abstractNumId w:val="30"/>
  </w:num>
  <w:num w:numId="5">
    <w:abstractNumId w:val="4"/>
  </w:num>
  <w:num w:numId="6">
    <w:abstractNumId w:val="29"/>
  </w:num>
  <w:num w:numId="7">
    <w:abstractNumId w:val="5"/>
  </w:num>
  <w:num w:numId="8">
    <w:abstractNumId w:val="22"/>
  </w:num>
  <w:num w:numId="9">
    <w:abstractNumId w:val="0"/>
  </w:num>
  <w:num w:numId="10">
    <w:abstractNumId w:val="28"/>
  </w:num>
  <w:num w:numId="11">
    <w:abstractNumId w:val="6"/>
  </w:num>
  <w:num w:numId="12">
    <w:abstractNumId w:val="16"/>
  </w:num>
  <w:num w:numId="13">
    <w:abstractNumId w:val="8"/>
  </w:num>
  <w:num w:numId="14">
    <w:abstractNumId w:val="7"/>
  </w:num>
  <w:num w:numId="15">
    <w:abstractNumId w:val="20"/>
  </w:num>
  <w:num w:numId="16">
    <w:abstractNumId w:val="11"/>
  </w:num>
  <w:num w:numId="17">
    <w:abstractNumId w:val="27"/>
  </w:num>
  <w:num w:numId="18">
    <w:abstractNumId w:val="25"/>
  </w:num>
  <w:num w:numId="19">
    <w:abstractNumId w:val="2"/>
  </w:num>
  <w:num w:numId="20">
    <w:abstractNumId w:val="12"/>
  </w:num>
  <w:num w:numId="21">
    <w:abstractNumId w:val="24"/>
  </w:num>
  <w:num w:numId="22">
    <w:abstractNumId w:val="13"/>
  </w:num>
  <w:num w:numId="23">
    <w:abstractNumId w:val="18"/>
  </w:num>
  <w:num w:numId="24">
    <w:abstractNumId w:val="14"/>
  </w:num>
  <w:num w:numId="25">
    <w:abstractNumId w:val="1"/>
  </w:num>
  <w:num w:numId="26">
    <w:abstractNumId w:val="21"/>
  </w:num>
  <w:num w:numId="27">
    <w:abstractNumId w:val="23"/>
  </w:num>
  <w:num w:numId="28">
    <w:abstractNumId w:val="3"/>
  </w:num>
  <w:num w:numId="29">
    <w:abstractNumId w:val="9"/>
  </w:num>
  <w:num w:numId="30">
    <w:abstractNumId w:val="15"/>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901"/>
    <w:rsid w:val="00000454"/>
    <w:rsid w:val="00000FBC"/>
    <w:rsid w:val="00002D73"/>
    <w:rsid w:val="00003D46"/>
    <w:rsid w:val="00006091"/>
    <w:rsid w:val="00015FC1"/>
    <w:rsid w:val="0002226A"/>
    <w:rsid w:val="00022C82"/>
    <w:rsid w:val="00025EAF"/>
    <w:rsid w:val="00025EFB"/>
    <w:rsid w:val="000309FE"/>
    <w:rsid w:val="00033A89"/>
    <w:rsid w:val="0003576F"/>
    <w:rsid w:val="000357B8"/>
    <w:rsid w:val="00040D92"/>
    <w:rsid w:val="00042A45"/>
    <w:rsid w:val="00042F63"/>
    <w:rsid w:val="00045F01"/>
    <w:rsid w:val="00051D61"/>
    <w:rsid w:val="00055EE7"/>
    <w:rsid w:val="00061E50"/>
    <w:rsid w:val="000719F2"/>
    <w:rsid w:val="000753E3"/>
    <w:rsid w:val="0007738F"/>
    <w:rsid w:val="0008152C"/>
    <w:rsid w:val="000819DF"/>
    <w:rsid w:val="0008589F"/>
    <w:rsid w:val="00090587"/>
    <w:rsid w:val="0009129B"/>
    <w:rsid w:val="00095726"/>
    <w:rsid w:val="000963B9"/>
    <w:rsid w:val="00096F1E"/>
    <w:rsid w:val="00096FF8"/>
    <w:rsid w:val="000A09EA"/>
    <w:rsid w:val="000A4676"/>
    <w:rsid w:val="000A53EC"/>
    <w:rsid w:val="000A582B"/>
    <w:rsid w:val="000A6AAF"/>
    <w:rsid w:val="000B02F1"/>
    <w:rsid w:val="000B394C"/>
    <w:rsid w:val="000B4D88"/>
    <w:rsid w:val="000B57BE"/>
    <w:rsid w:val="000B6939"/>
    <w:rsid w:val="000C2690"/>
    <w:rsid w:val="000C35B7"/>
    <w:rsid w:val="000C7D39"/>
    <w:rsid w:val="000D214A"/>
    <w:rsid w:val="000D7142"/>
    <w:rsid w:val="000E1E49"/>
    <w:rsid w:val="000E3270"/>
    <w:rsid w:val="000F7200"/>
    <w:rsid w:val="00101682"/>
    <w:rsid w:val="0010380F"/>
    <w:rsid w:val="00105065"/>
    <w:rsid w:val="0010694D"/>
    <w:rsid w:val="0011326A"/>
    <w:rsid w:val="001137CD"/>
    <w:rsid w:val="00113DBE"/>
    <w:rsid w:val="00114DBB"/>
    <w:rsid w:val="00115AA7"/>
    <w:rsid w:val="00115DEE"/>
    <w:rsid w:val="00116559"/>
    <w:rsid w:val="00120488"/>
    <w:rsid w:val="00120F41"/>
    <w:rsid w:val="00121988"/>
    <w:rsid w:val="0013138F"/>
    <w:rsid w:val="001337AD"/>
    <w:rsid w:val="0013473B"/>
    <w:rsid w:val="00134DCE"/>
    <w:rsid w:val="00137CAA"/>
    <w:rsid w:val="00141604"/>
    <w:rsid w:val="00146BDD"/>
    <w:rsid w:val="00146FA0"/>
    <w:rsid w:val="00147592"/>
    <w:rsid w:val="00147C26"/>
    <w:rsid w:val="001511CF"/>
    <w:rsid w:val="00152379"/>
    <w:rsid w:val="00152526"/>
    <w:rsid w:val="00155451"/>
    <w:rsid w:val="00156406"/>
    <w:rsid w:val="0015672A"/>
    <w:rsid w:val="00156E91"/>
    <w:rsid w:val="0016171A"/>
    <w:rsid w:val="00161DA1"/>
    <w:rsid w:val="0016324D"/>
    <w:rsid w:val="00163A03"/>
    <w:rsid w:val="00166229"/>
    <w:rsid w:val="00167099"/>
    <w:rsid w:val="00176183"/>
    <w:rsid w:val="00177BEE"/>
    <w:rsid w:val="00181A1E"/>
    <w:rsid w:val="0019107B"/>
    <w:rsid w:val="00192381"/>
    <w:rsid w:val="00194CB3"/>
    <w:rsid w:val="001977AF"/>
    <w:rsid w:val="001A3A7F"/>
    <w:rsid w:val="001A7354"/>
    <w:rsid w:val="001A7BF7"/>
    <w:rsid w:val="001B1A54"/>
    <w:rsid w:val="001B3AD7"/>
    <w:rsid w:val="001B4097"/>
    <w:rsid w:val="001B5BD6"/>
    <w:rsid w:val="001B6DD0"/>
    <w:rsid w:val="001B7391"/>
    <w:rsid w:val="001C067A"/>
    <w:rsid w:val="001C0699"/>
    <w:rsid w:val="001C08CC"/>
    <w:rsid w:val="001C0A65"/>
    <w:rsid w:val="001C289C"/>
    <w:rsid w:val="001C383E"/>
    <w:rsid w:val="001C3F66"/>
    <w:rsid w:val="001C417E"/>
    <w:rsid w:val="001C52D9"/>
    <w:rsid w:val="001C71E0"/>
    <w:rsid w:val="001C7905"/>
    <w:rsid w:val="001D046A"/>
    <w:rsid w:val="001D1B2C"/>
    <w:rsid w:val="001D5002"/>
    <w:rsid w:val="001D7366"/>
    <w:rsid w:val="001E05F0"/>
    <w:rsid w:val="001E15F2"/>
    <w:rsid w:val="001E3CBC"/>
    <w:rsid w:val="001E4746"/>
    <w:rsid w:val="001E662D"/>
    <w:rsid w:val="001E7298"/>
    <w:rsid w:val="001F0C08"/>
    <w:rsid w:val="001F3FCE"/>
    <w:rsid w:val="00201FAF"/>
    <w:rsid w:val="00204389"/>
    <w:rsid w:val="00204EB1"/>
    <w:rsid w:val="00206BF4"/>
    <w:rsid w:val="00207B78"/>
    <w:rsid w:val="002148C8"/>
    <w:rsid w:val="00216EF6"/>
    <w:rsid w:val="002176C2"/>
    <w:rsid w:val="0022004B"/>
    <w:rsid w:val="002220A4"/>
    <w:rsid w:val="002257C5"/>
    <w:rsid w:val="00225EDD"/>
    <w:rsid w:val="002270D6"/>
    <w:rsid w:val="0023227C"/>
    <w:rsid w:val="00235A26"/>
    <w:rsid w:val="00237756"/>
    <w:rsid w:val="002407BC"/>
    <w:rsid w:val="002408A3"/>
    <w:rsid w:val="00240B95"/>
    <w:rsid w:val="0024203D"/>
    <w:rsid w:val="00243FE7"/>
    <w:rsid w:val="00245D1B"/>
    <w:rsid w:val="002460AF"/>
    <w:rsid w:val="002523CF"/>
    <w:rsid w:val="00252A7C"/>
    <w:rsid w:val="002571DE"/>
    <w:rsid w:val="00257F56"/>
    <w:rsid w:val="0026136A"/>
    <w:rsid w:val="00264C6A"/>
    <w:rsid w:val="00267D97"/>
    <w:rsid w:val="002730A5"/>
    <w:rsid w:val="00275506"/>
    <w:rsid w:val="00275C07"/>
    <w:rsid w:val="002764DA"/>
    <w:rsid w:val="00277D60"/>
    <w:rsid w:val="00283EFA"/>
    <w:rsid w:val="00285054"/>
    <w:rsid w:val="00286BEE"/>
    <w:rsid w:val="00287004"/>
    <w:rsid w:val="002902DA"/>
    <w:rsid w:val="002A333F"/>
    <w:rsid w:val="002A3D1E"/>
    <w:rsid w:val="002A4418"/>
    <w:rsid w:val="002A5939"/>
    <w:rsid w:val="002A6E5B"/>
    <w:rsid w:val="002B3A57"/>
    <w:rsid w:val="002B4B44"/>
    <w:rsid w:val="002C1E54"/>
    <w:rsid w:val="002C3F15"/>
    <w:rsid w:val="002D0306"/>
    <w:rsid w:val="002D52E3"/>
    <w:rsid w:val="002D6329"/>
    <w:rsid w:val="002D7E9A"/>
    <w:rsid w:val="002E67B4"/>
    <w:rsid w:val="002E6F19"/>
    <w:rsid w:val="002E744D"/>
    <w:rsid w:val="002F12DC"/>
    <w:rsid w:val="002F505C"/>
    <w:rsid w:val="003008B9"/>
    <w:rsid w:val="0030092D"/>
    <w:rsid w:val="00301523"/>
    <w:rsid w:val="00302665"/>
    <w:rsid w:val="00304DE4"/>
    <w:rsid w:val="00311161"/>
    <w:rsid w:val="00312463"/>
    <w:rsid w:val="0031385B"/>
    <w:rsid w:val="0031535A"/>
    <w:rsid w:val="003167E0"/>
    <w:rsid w:val="0033407B"/>
    <w:rsid w:val="003359F6"/>
    <w:rsid w:val="00343C2E"/>
    <w:rsid w:val="00351473"/>
    <w:rsid w:val="00353393"/>
    <w:rsid w:val="00354242"/>
    <w:rsid w:val="003549A5"/>
    <w:rsid w:val="00356ACE"/>
    <w:rsid w:val="003573D4"/>
    <w:rsid w:val="00357AA0"/>
    <w:rsid w:val="00361736"/>
    <w:rsid w:val="003617DA"/>
    <w:rsid w:val="003635C2"/>
    <w:rsid w:val="00365940"/>
    <w:rsid w:val="00366DED"/>
    <w:rsid w:val="003702A7"/>
    <w:rsid w:val="00371E43"/>
    <w:rsid w:val="003809CA"/>
    <w:rsid w:val="00381430"/>
    <w:rsid w:val="003822AE"/>
    <w:rsid w:val="00382A9B"/>
    <w:rsid w:val="003836D2"/>
    <w:rsid w:val="00391632"/>
    <w:rsid w:val="003979BF"/>
    <w:rsid w:val="003A401F"/>
    <w:rsid w:val="003A5D02"/>
    <w:rsid w:val="003B14A6"/>
    <w:rsid w:val="003B1B03"/>
    <w:rsid w:val="003B4A12"/>
    <w:rsid w:val="003B6C7C"/>
    <w:rsid w:val="003C07AE"/>
    <w:rsid w:val="003C0C9F"/>
    <w:rsid w:val="003C35E2"/>
    <w:rsid w:val="003D09C5"/>
    <w:rsid w:val="003D5D06"/>
    <w:rsid w:val="003D6217"/>
    <w:rsid w:val="003D6901"/>
    <w:rsid w:val="003D71C6"/>
    <w:rsid w:val="003E04CA"/>
    <w:rsid w:val="003E1E33"/>
    <w:rsid w:val="003E20DE"/>
    <w:rsid w:val="003E2ABB"/>
    <w:rsid w:val="003E5370"/>
    <w:rsid w:val="003E698A"/>
    <w:rsid w:val="003F011F"/>
    <w:rsid w:val="003F2695"/>
    <w:rsid w:val="003F745B"/>
    <w:rsid w:val="003F788A"/>
    <w:rsid w:val="00404C70"/>
    <w:rsid w:val="00410767"/>
    <w:rsid w:val="00410CAA"/>
    <w:rsid w:val="0041180C"/>
    <w:rsid w:val="00411E41"/>
    <w:rsid w:val="0041460A"/>
    <w:rsid w:val="00415208"/>
    <w:rsid w:val="00420C22"/>
    <w:rsid w:val="00423BB7"/>
    <w:rsid w:val="00432B9E"/>
    <w:rsid w:val="004332B5"/>
    <w:rsid w:val="00433B62"/>
    <w:rsid w:val="00434018"/>
    <w:rsid w:val="00434B7D"/>
    <w:rsid w:val="00435DAA"/>
    <w:rsid w:val="00440B74"/>
    <w:rsid w:val="004434F9"/>
    <w:rsid w:val="004446EA"/>
    <w:rsid w:val="00446AC1"/>
    <w:rsid w:val="004471D9"/>
    <w:rsid w:val="00451A18"/>
    <w:rsid w:val="00451F96"/>
    <w:rsid w:val="00455536"/>
    <w:rsid w:val="00455CA3"/>
    <w:rsid w:val="004639EB"/>
    <w:rsid w:val="00463B34"/>
    <w:rsid w:val="00464916"/>
    <w:rsid w:val="004709AE"/>
    <w:rsid w:val="00474926"/>
    <w:rsid w:val="0047495C"/>
    <w:rsid w:val="00476022"/>
    <w:rsid w:val="00477B53"/>
    <w:rsid w:val="00480779"/>
    <w:rsid w:val="004818CA"/>
    <w:rsid w:val="00483240"/>
    <w:rsid w:val="00484174"/>
    <w:rsid w:val="00484A4A"/>
    <w:rsid w:val="00484F1A"/>
    <w:rsid w:val="004854BC"/>
    <w:rsid w:val="00487495"/>
    <w:rsid w:val="0049558A"/>
    <w:rsid w:val="00496A25"/>
    <w:rsid w:val="0049712E"/>
    <w:rsid w:val="004A064E"/>
    <w:rsid w:val="004A070E"/>
    <w:rsid w:val="004A143C"/>
    <w:rsid w:val="004A150B"/>
    <w:rsid w:val="004A5D01"/>
    <w:rsid w:val="004A5DCD"/>
    <w:rsid w:val="004A67F6"/>
    <w:rsid w:val="004B2B6C"/>
    <w:rsid w:val="004B3722"/>
    <w:rsid w:val="004B63D5"/>
    <w:rsid w:val="004C2249"/>
    <w:rsid w:val="004C2C68"/>
    <w:rsid w:val="004C45E1"/>
    <w:rsid w:val="004C530C"/>
    <w:rsid w:val="004C5501"/>
    <w:rsid w:val="004D0126"/>
    <w:rsid w:val="004D1FCF"/>
    <w:rsid w:val="004D26A4"/>
    <w:rsid w:val="004D37EF"/>
    <w:rsid w:val="004D3F57"/>
    <w:rsid w:val="004D78A5"/>
    <w:rsid w:val="004E405A"/>
    <w:rsid w:val="004E44B4"/>
    <w:rsid w:val="004E485F"/>
    <w:rsid w:val="004E4874"/>
    <w:rsid w:val="004E6F48"/>
    <w:rsid w:val="004F2CE7"/>
    <w:rsid w:val="004F548C"/>
    <w:rsid w:val="00500226"/>
    <w:rsid w:val="005006F0"/>
    <w:rsid w:val="00502ECA"/>
    <w:rsid w:val="005105FB"/>
    <w:rsid w:val="00510868"/>
    <w:rsid w:val="005142CF"/>
    <w:rsid w:val="005160D0"/>
    <w:rsid w:val="005178BC"/>
    <w:rsid w:val="005221E8"/>
    <w:rsid w:val="00534ABE"/>
    <w:rsid w:val="005372AE"/>
    <w:rsid w:val="00537A77"/>
    <w:rsid w:val="0054051D"/>
    <w:rsid w:val="0054190F"/>
    <w:rsid w:val="00545FA6"/>
    <w:rsid w:val="00546083"/>
    <w:rsid w:val="00547A18"/>
    <w:rsid w:val="00553109"/>
    <w:rsid w:val="00554DCB"/>
    <w:rsid w:val="005601B0"/>
    <w:rsid w:val="00562F79"/>
    <w:rsid w:val="0056358D"/>
    <w:rsid w:val="00564338"/>
    <w:rsid w:val="00565BE1"/>
    <w:rsid w:val="005701BC"/>
    <w:rsid w:val="005759B3"/>
    <w:rsid w:val="00581637"/>
    <w:rsid w:val="00582AAF"/>
    <w:rsid w:val="00582D41"/>
    <w:rsid w:val="00583487"/>
    <w:rsid w:val="00583493"/>
    <w:rsid w:val="0059104D"/>
    <w:rsid w:val="005926BF"/>
    <w:rsid w:val="005A00EA"/>
    <w:rsid w:val="005A18CE"/>
    <w:rsid w:val="005A1C40"/>
    <w:rsid w:val="005A6E5C"/>
    <w:rsid w:val="005B025B"/>
    <w:rsid w:val="005B2C0F"/>
    <w:rsid w:val="005B42F4"/>
    <w:rsid w:val="005B5FB0"/>
    <w:rsid w:val="005B7CBB"/>
    <w:rsid w:val="005C4D01"/>
    <w:rsid w:val="005D6545"/>
    <w:rsid w:val="005D68EC"/>
    <w:rsid w:val="005F03A2"/>
    <w:rsid w:val="005F4DBC"/>
    <w:rsid w:val="005F7913"/>
    <w:rsid w:val="00600027"/>
    <w:rsid w:val="00603985"/>
    <w:rsid w:val="006053A1"/>
    <w:rsid w:val="00611629"/>
    <w:rsid w:val="00613023"/>
    <w:rsid w:val="006132E3"/>
    <w:rsid w:val="00617162"/>
    <w:rsid w:val="00622571"/>
    <w:rsid w:val="006247FF"/>
    <w:rsid w:val="00625902"/>
    <w:rsid w:val="0062782D"/>
    <w:rsid w:val="00627975"/>
    <w:rsid w:val="006279B4"/>
    <w:rsid w:val="006312B6"/>
    <w:rsid w:val="0064032C"/>
    <w:rsid w:val="0064158D"/>
    <w:rsid w:val="00642747"/>
    <w:rsid w:val="00642D61"/>
    <w:rsid w:val="00643600"/>
    <w:rsid w:val="00643C20"/>
    <w:rsid w:val="00652981"/>
    <w:rsid w:val="00653A3E"/>
    <w:rsid w:val="00657480"/>
    <w:rsid w:val="006642F0"/>
    <w:rsid w:val="00664F24"/>
    <w:rsid w:val="00667C0F"/>
    <w:rsid w:val="00671F93"/>
    <w:rsid w:val="00676700"/>
    <w:rsid w:val="00680326"/>
    <w:rsid w:val="0068462D"/>
    <w:rsid w:val="00685F22"/>
    <w:rsid w:val="006903CC"/>
    <w:rsid w:val="00690EAC"/>
    <w:rsid w:val="00691877"/>
    <w:rsid w:val="006929D3"/>
    <w:rsid w:val="00693553"/>
    <w:rsid w:val="0069397C"/>
    <w:rsid w:val="006A4791"/>
    <w:rsid w:val="006A54FF"/>
    <w:rsid w:val="006B1ECE"/>
    <w:rsid w:val="006B3939"/>
    <w:rsid w:val="006B4AD4"/>
    <w:rsid w:val="006B650E"/>
    <w:rsid w:val="006B77DA"/>
    <w:rsid w:val="006C051D"/>
    <w:rsid w:val="006C0A96"/>
    <w:rsid w:val="006C0BAE"/>
    <w:rsid w:val="006C1C55"/>
    <w:rsid w:val="006C328C"/>
    <w:rsid w:val="006C67D3"/>
    <w:rsid w:val="006C6E5D"/>
    <w:rsid w:val="006D005F"/>
    <w:rsid w:val="006D0BC3"/>
    <w:rsid w:val="006D386E"/>
    <w:rsid w:val="006D5095"/>
    <w:rsid w:val="006D5C42"/>
    <w:rsid w:val="006E6175"/>
    <w:rsid w:val="006E6B2B"/>
    <w:rsid w:val="006F28F5"/>
    <w:rsid w:val="006F48F6"/>
    <w:rsid w:val="006F4A09"/>
    <w:rsid w:val="006F77DD"/>
    <w:rsid w:val="006F7B97"/>
    <w:rsid w:val="006F7FBB"/>
    <w:rsid w:val="00700C83"/>
    <w:rsid w:val="0070384C"/>
    <w:rsid w:val="00713739"/>
    <w:rsid w:val="00715456"/>
    <w:rsid w:val="00716AC6"/>
    <w:rsid w:val="00720C8A"/>
    <w:rsid w:val="00722EE0"/>
    <w:rsid w:val="00722FEE"/>
    <w:rsid w:val="00723AD9"/>
    <w:rsid w:val="00726491"/>
    <w:rsid w:val="00727938"/>
    <w:rsid w:val="00732792"/>
    <w:rsid w:val="0073378A"/>
    <w:rsid w:val="0073512E"/>
    <w:rsid w:val="0073543B"/>
    <w:rsid w:val="00736AED"/>
    <w:rsid w:val="007375D7"/>
    <w:rsid w:val="007403A8"/>
    <w:rsid w:val="00742316"/>
    <w:rsid w:val="007429EE"/>
    <w:rsid w:val="0074319D"/>
    <w:rsid w:val="00743BF7"/>
    <w:rsid w:val="0074788D"/>
    <w:rsid w:val="007522D0"/>
    <w:rsid w:val="00752390"/>
    <w:rsid w:val="00752A72"/>
    <w:rsid w:val="00760229"/>
    <w:rsid w:val="007612EC"/>
    <w:rsid w:val="00763D90"/>
    <w:rsid w:val="00764369"/>
    <w:rsid w:val="007652B0"/>
    <w:rsid w:val="00765868"/>
    <w:rsid w:val="007665EF"/>
    <w:rsid w:val="00771D1F"/>
    <w:rsid w:val="00772BD5"/>
    <w:rsid w:val="00773646"/>
    <w:rsid w:val="00773988"/>
    <w:rsid w:val="00773A06"/>
    <w:rsid w:val="00773C0B"/>
    <w:rsid w:val="00776BE5"/>
    <w:rsid w:val="007801A6"/>
    <w:rsid w:val="00782F56"/>
    <w:rsid w:val="00793EEB"/>
    <w:rsid w:val="0079510D"/>
    <w:rsid w:val="007A329F"/>
    <w:rsid w:val="007A4B99"/>
    <w:rsid w:val="007A643C"/>
    <w:rsid w:val="007A696B"/>
    <w:rsid w:val="007B272B"/>
    <w:rsid w:val="007B3CDB"/>
    <w:rsid w:val="007B529B"/>
    <w:rsid w:val="007B79D1"/>
    <w:rsid w:val="007C066F"/>
    <w:rsid w:val="007C3D4B"/>
    <w:rsid w:val="007C713A"/>
    <w:rsid w:val="007D1F82"/>
    <w:rsid w:val="007D260C"/>
    <w:rsid w:val="007D3409"/>
    <w:rsid w:val="007D4C43"/>
    <w:rsid w:val="007D5D4D"/>
    <w:rsid w:val="007D7547"/>
    <w:rsid w:val="007E1A6E"/>
    <w:rsid w:val="007E1BA6"/>
    <w:rsid w:val="007E44E0"/>
    <w:rsid w:val="007E7934"/>
    <w:rsid w:val="007F149F"/>
    <w:rsid w:val="007F44E4"/>
    <w:rsid w:val="007F4CF6"/>
    <w:rsid w:val="007F6D3C"/>
    <w:rsid w:val="007F7ABD"/>
    <w:rsid w:val="007F7F05"/>
    <w:rsid w:val="0080079B"/>
    <w:rsid w:val="00800E2C"/>
    <w:rsid w:val="00801E2F"/>
    <w:rsid w:val="008036C7"/>
    <w:rsid w:val="00803D30"/>
    <w:rsid w:val="008056D3"/>
    <w:rsid w:val="008060C2"/>
    <w:rsid w:val="00810706"/>
    <w:rsid w:val="008120D0"/>
    <w:rsid w:val="008121F3"/>
    <w:rsid w:val="008122D0"/>
    <w:rsid w:val="008128D6"/>
    <w:rsid w:val="00812FF9"/>
    <w:rsid w:val="00814A62"/>
    <w:rsid w:val="00816A58"/>
    <w:rsid w:val="00816B33"/>
    <w:rsid w:val="00817E87"/>
    <w:rsid w:val="00824E99"/>
    <w:rsid w:val="00830E10"/>
    <w:rsid w:val="00832358"/>
    <w:rsid w:val="00832BFA"/>
    <w:rsid w:val="00834CC2"/>
    <w:rsid w:val="008355B3"/>
    <w:rsid w:val="0084000C"/>
    <w:rsid w:val="0084131A"/>
    <w:rsid w:val="008427A2"/>
    <w:rsid w:val="00843B8B"/>
    <w:rsid w:val="00847BD1"/>
    <w:rsid w:val="00847E99"/>
    <w:rsid w:val="0085022B"/>
    <w:rsid w:val="008506B2"/>
    <w:rsid w:val="00854886"/>
    <w:rsid w:val="0085572F"/>
    <w:rsid w:val="008569C8"/>
    <w:rsid w:val="008609BC"/>
    <w:rsid w:val="00863A3C"/>
    <w:rsid w:val="00863C72"/>
    <w:rsid w:val="0086408E"/>
    <w:rsid w:val="00865517"/>
    <w:rsid w:val="00865D82"/>
    <w:rsid w:val="00865D8A"/>
    <w:rsid w:val="008662E5"/>
    <w:rsid w:val="00870CF5"/>
    <w:rsid w:val="00871DD5"/>
    <w:rsid w:val="00872930"/>
    <w:rsid w:val="00874C02"/>
    <w:rsid w:val="00876756"/>
    <w:rsid w:val="00877245"/>
    <w:rsid w:val="0087746D"/>
    <w:rsid w:val="008804A3"/>
    <w:rsid w:val="008828DD"/>
    <w:rsid w:val="00882B07"/>
    <w:rsid w:val="00882E48"/>
    <w:rsid w:val="00885477"/>
    <w:rsid w:val="00886447"/>
    <w:rsid w:val="008867DE"/>
    <w:rsid w:val="00887792"/>
    <w:rsid w:val="0088792B"/>
    <w:rsid w:val="00892D9B"/>
    <w:rsid w:val="00896E34"/>
    <w:rsid w:val="008A01C1"/>
    <w:rsid w:val="008A1009"/>
    <w:rsid w:val="008A10AB"/>
    <w:rsid w:val="008A1288"/>
    <w:rsid w:val="008A2FE8"/>
    <w:rsid w:val="008A50BE"/>
    <w:rsid w:val="008A69BC"/>
    <w:rsid w:val="008A7A12"/>
    <w:rsid w:val="008B0040"/>
    <w:rsid w:val="008B0459"/>
    <w:rsid w:val="008B79FA"/>
    <w:rsid w:val="008C0209"/>
    <w:rsid w:val="008C052E"/>
    <w:rsid w:val="008C0CE3"/>
    <w:rsid w:val="008C1C35"/>
    <w:rsid w:val="008C6B86"/>
    <w:rsid w:val="008C7C54"/>
    <w:rsid w:val="008D0564"/>
    <w:rsid w:val="008D232C"/>
    <w:rsid w:val="008D3F8E"/>
    <w:rsid w:val="008D5379"/>
    <w:rsid w:val="008D5F26"/>
    <w:rsid w:val="008E0D9E"/>
    <w:rsid w:val="008E0EEF"/>
    <w:rsid w:val="008E3E62"/>
    <w:rsid w:val="008E530D"/>
    <w:rsid w:val="008E6209"/>
    <w:rsid w:val="008E6DD4"/>
    <w:rsid w:val="008F2B78"/>
    <w:rsid w:val="008F423C"/>
    <w:rsid w:val="008F69A3"/>
    <w:rsid w:val="009013B5"/>
    <w:rsid w:val="00901ED2"/>
    <w:rsid w:val="009030BB"/>
    <w:rsid w:val="00903386"/>
    <w:rsid w:val="00903BCD"/>
    <w:rsid w:val="00903DE5"/>
    <w:rsid w:val="0090424B"/>
    <w:rsid w:val="00904263"/>
    <w:rsid w:val="0090478C"/>
    <w:rsid w:val="00910AEA"/>
    <w:rsid w:val="00911011"/>
    <w:rsid w:val="00913121"/>
    <w:rsid w:val="009132BC"/>
    <w:rsid w:val="009132E0"/>
    <w:rsid w:val="00920FDD"/>
    <w:rsid w:val="0092107A"/>
    <w:rsid w:val="009224AC"/>
    <w:rsid w:val="00922B40"/>
    <w:rsid w:val="0092390A"/>
    <w:rsid w:val="00924C9B"/>
    <w:rsid w:val="00925E00"/>
    <w:rsid w:val="00927193"/>
    <w:rsid w:val="00927F11"/>
    <w:rsid w:val="00935748"/>
    <w:rsid w:val="009358E1"/>
    <w:rsid w:val="00937DFA"/>
    <w:rsid w:val="009455D5"/>
    <w:rsid w:val="00946F6D"/>
    <w:rsid w:val="00946F71"/>
    <w:rsid w:val="00953D9D"/>
    <w:rsid w:val="00953E60"/>
    <w:rsid w:val="00954B24"/>
    <w:rsid w:val="00955612"/>
    <w:rsid w:val="00960137"/>
    <w:rsid w:val="009603FD"/>
    <w:rsid w:val="009631B0"/>
    <w:rsid w:val="00965F41"/>
    <w:rsid w:val="009673DC"/>
    <w:rsid w:val="009704D3"/>
    <w:rsid w:val="00976053"/>
    <w:rsid w:val="00977155"/>
    <w:rsid w:val="00980C25"/>
    <w:rsid w:val="00980C64"/>
    <w:rsid w:val="00984F3E"/>
    <w:rsid w:val="00984F8C"/>
    <w:rsid w:val="00986134"/>
    <w:rsid w:val="00992ADC"/>
    <w:rsid w:val="00992C6E"/>
    <w:rsid w:val="00996A70"/>
    <w:rsid w:val="00997189"/>
    <w:rsid w:val="009A0043"/>
    <w:rsid w:val="009A086A"/>
    <w:rsid w:val="009A38CD"/>
    <w:rsid w:val="009A5CA5"/>
    <w:rsid w:val="009A7BEB"/>
    <w:rsid w:val="009B362C"/>
    <w:rsid w:val="009C0C18"/>
    <w:rsid w:val="009C1DE2"/>
    <w:rsid w:val="009C2C8A"/>
    <w:rsid w:val="009C3167"/>
    <w:rsid w:val="009C7F79"/>
    <w:rsid w:val="009E2E91"/>
    <w:rsid w:val="009E618E"/>
    <w:rsid w:val="009E659F"/>
    <w:rsid w:val="009E7365"/>
    <w:rsid w:val="009F2511"/>
    <w:rsid w:val="009F3FE7"/>
    <w:rsid w:val="00A009D7"/>
    <w:rsid w:val="00A0190D"/>
    <w:rsid w:val="00A06304"/>
    <w:rsid w:val="00A0638E"/>
    <w:rsid w:val="00A0767F"/>
    <w:rsid w:val="00A162D6"/>
    <w:rsid w:val="00A17476"/>
    <w:rsid w:val="00A2188B"/>
    <w:rsid w:val="00A255AD"/>
    <w:rsid w:val="00A30779"/>
    <w:rsid w:val="00A30AF8"/>
    <w:rsid w:val="00A339D8"/>
    <w:rsid w:val="00A33E39"/>
    <w:rsid w:val="00A433D2"/>
    <w:rsid w:val="00A518DD"/>
    <w:rsid w:val="00A54EA7"/>
    <w:rsid w:val="00A56FF7"/>
    <w:rsid w:val="00A570CD"/>
    <w:rsid w:val="00A62287"/>
    <w:rsid w:val="00A62386"/>
    <w:rsid w:val="00A64862"/>
    <w:rsid w:val="00A649D2"/>
    <w:rsid w:val="00A65F71"/>
    <w:rsid w:val="00A67F95"/>
    <w:rsid w:val="00A730A1"/>
    <w:rsid w:val="00A73E1E"/>
    <w:rsid w:val="00A7532B"/>
    <w:rsid w:val="00A75E2C"/>
    <w:rsid w:val="00A84C9A"/>
    <w:rsid w:val="00A861CD"/>
    <w:rsid w:val="00A86342"/>
    <w:rsid w:val="00A93C7E"/>
    <w:rsid w:val="00A941EF"/>
    <w:rsid w:val="00A95591"/>
    <w:rsid w:val="00A977F3"/>
    <w:rsid w:val="00AA0134"/>
    <w:rsid w:val="00AA4F5F"/>
    <w:rsid w:val="00AA513F"/>
    <w:rsid w:val="00AA6525"/>
    <w:rsid w:val="00AA6835"/>
    <w:rsid w:val="00AA7B3E"/>
    <w:rsid w:val="00AB1855"/>
    <w:rsid w:val="00AB31EB"/>
    <w:rsid w:val="00AB5E98"/>
    <w:rsid w:val="00AB6F34"/>
    <w:rsid w:val="00AC6EB1"/>
    <w:rsid w:val="00AC7820"/>
    <w:rsid w:val="00AD0DDE"/>
    <w:rsid w:val="00AD2B74"/>
    <w:rsid w:val="00AD3C35"/>
    <w:rsid w:val="00AD65F5"/>
    <w:rsid w:val="00AD78E2"/>
    <w:rsid w:val="00AE171B"/>
    <w:rsid w:val="00AE5203"/>
    <w:rsid w:val="00AE5CBB"/>
    <w:rsid w:val="00AF0CCB"/>
    <w:rsid w:val="00AF0E49"/>
    <w:rsid w:val="00AF1F75"/>
    <w:rsid w:val="00AF3D14"/>
    <w:rsid w:val="00AF4CB9"/>
    <w:rsid w:val="00AF5A19"/>
    <w:rsid w:val="00AF6FF8"/>
    <w:rsid w:val="00AF7A59"/>
    <w:rsid w:val="00B03181"/>
    <w:rsid w:val="00B04484"/>
    <w:rsid w:val="00B0683E"/>
    <w:rsid w:val="00B070E6"/>
    <w:rsid w:val="00B100DE"/>
    <w:rsid w:val="00B115A3"/>
    <w:rsid w:val="00B12485"/>
    <w:rsid w:val="00B13D4C"/>
    <w:rsid w:val="00B21548"/>
    <w:rsid w:val="00B21EA5"/>
    <w:rsid w:val="00B242A6"/>
    <w:rsid w:val="00B25BE5"/>
    <w:rsid w:val="00B27BD5"/>
    <w:rsid w:val="00B354E7"/>
    <w:rsid w:val="00B3604C"/>
    <w:rsid w:val="00B420AF"/>
    <w:rsid w:val="00B42427"/>
    <w:rsid w:val="00B45ED9"/>
    <w:rsid w:val="00B46BCE"/>
    <w:rsid w:val="00B56337"/>
    <w:rsid w:val="00B56464"/>
    <w:rsid w:val="00B57CC2"/>
    <w:rsid w:val="00B62CEE"/>
    <w:rsid w:val="00B62F91"/>
    <w:rsid w:val="00B67073"/>
    <w:rsid w:val="00B6736B"/>
    <w:rsid w:val="00B67C37"/>
    <w:rsid w:val="00B73C39"/>
    <w:rsid w:val="00B748B3"/>
    <w:rsid w:val="00B75D20"/>
    <w:rsid w:val="00B77621"/>
    <w:rsid w:val="00B8095E"/>
    <w:rsid w:val="00B82485"/>
    <w:rsid w:val="00B86F56"/>
    <w:rsid w:val="00B91469"/>
    <w:rsid w:val="00B93134"/>
    <w:rsid w:val="00B93287"/>
    <w:rsid w:val="00B9740D"/>
    <w:rsid w:val="00B97A39"/>
    <w:rsid w:val="00BA0DC3"/>
    <w:rsid w:val="00BA1813"/>
    <w:rsid w:val="00BA2F21"/>
    <w:rsid w:val="00BA61EC"/>
    <w:rsid w:val="00BA7A0F"/>
    <w:rsid w:val="00BB0107"/>
    <w:rsid w:val="00BB0976"/>
    <w:rsid w:val="00BB1F4E"/>
    <w:rsid w:val="00BB422B"/>
    <w:rsid w:val="00BC1C5C"/>
    <w:rsid w:val="00BC22F4"/>
    <w:rsid w:val="00BC4139"/>
    <w:rsid w:val="00BC480F"/>
    <w:rsid w:val="00BC517E"/>
    <w:rsid w:val="00BC5D30"/>
    <w:rsid w:val="00BD24D4"/>
    <w:rsid w:val="00BD27C7"/>
    <w:rsid w:val="00BD4F4D"/>
    <w:rsid w:val="00BD7659"/>
    <w:rsid w:val="00BE10A7"/>
    <w:rsid w:val="00BE181B"/>
    <w:rsid w:val="00BE5575"/>
    <w:rsid w:val="00BF19D4"/>
    <w:rsid w:val="00BF2932"/>
    <w:rsid w:val="00BF78BA"/>
    <w:rsid w:val="00C0021F"/>
    <w:rsid w:val="00C01819"/>
    <w:rsid w:val="00C03A38"/>
    <w:rsid w:val="00C04A49"/>
    <w:rsid w:val="00C054E5"/>
    <w:rsid w:val="00C076C9"/>
    <w:rsid w:val="00C07FA5"/>
    <w:rsid w:val="00C11BD2"/>
    <w:rsid w:val="00C14B82"/>
    <w:rsid w:val="00C1633D"/>
    <w:rsid w:val="00C16FBC"/>
    <w:rsid w:val="00C20A49"/>
    <w:rsid w:val="00C26F66"/>
    <w:rsid w:val="00C3282F"/>
    <w:rsid w:val="00C3465A"/>
    <w:rsid w:val="00C360CA"/>
    <w:rsid w:val="00C371FF"/>
    <w:rsid w:val="00C414EC"/>
    <w:rsid w:val="00C42AAF"/>
    <w:rsid w:val="00C434F8"/>
    <w:rsid w:val="00C45BB9"/>
    <w:rsid w:val="00C47371"/>
    <w:rsid w:val="00C509D6"/>
    <w:rsid w:val="00C525D8"/>
    <w:rsid w:val="00C54369"/>
    <w:rsid w:val="00C55916"/>
    <w:rsid w:val="00C600CA"/>
    <w:rsid w:val="00C725E9"/>
    <w:rsid w:val="00C74A5D"/>
    <w:rsid w:val="00C7712E"/>
    <w:rsid w:val="00C80509"/>
    <w:rsid w:val="00C818BA"/>
    <w:rsid w:val="00C918B3"/>
    <w:rsid w:val="00CA11C3"/>
    <w:rsid w:val="00CA1442"/>
    <w:rsid w:val="00CA1B63"/>
    <w:rsid w:val="00CA5E6E"/>
    <w:rsid w:val="00CB5893"/>
    <w:rsid w:val="00CB598E"/>
    <w:rsid w:val="00CB6DB5"/>
    <w:rsid w:val="00CC4E62"/>
    <w:rsid w:val="00CC5008"/>
    <w:rsid w:val="00CC5B34"/>
    <w:rsid w:val="00CC626F"/>
    <w:rsid w:val="00CD15FD"/>
    <w:rsid w:val="00CD17F0"/>
    <w:rsid w:val="00CD2E1B"/>
    <w:rsid w:val="00CD3B44"/>
    <w:rsid w:val="00CD42A0"/>
    <w:rsid w:val="00CD67C0"/>
    <w:rsid w:val="00CE1105"/>
    <w:rsid w:val="00CE173B"/>
    <w:rsid w:val="00CE27DA"/>
    <w:rsid w:val="00CE32DC"/>
    <w:rsid w:val="00CE4033"/>
    <w:rsid w:val="00CE4E16"/>
    <w:rsid w:val="00CE77EC"/>
    <w:rsid w:val="00CF1A40"/>
    <w:rsid w:val="00CF356E"/>
    <w:rsid w:val="00CF4965"/>
    <w:rsid w:val="00D05552"/>
    <w:rsid w:val="00D066E3"/>
    <w:rsid w:val="00D071A5"/>
    <w:rsid w:val="00D07580"/>
    <w:rsid w:val="00D100E6"/>
    <w:rsid w:val="00D11F36"/>
    <w:rsid w:val="00D14B68"/>
    <w:rsid w:val="00D20601"/>
    <w:rsid w:val="00D24307"/>
    <w:rsid w:val="00D2714E"/>
    <w:rsid w:val="00D34838"/>
    <w:rsid w:val="00D34BD6"/>
    <w:rsid w:val="00D357C0"/>
    <w:rsid w:val="00D36ED3"/>
    <w:rsid w:val="00D446A4"/>
    <w:rsid w:val="00D514B3"/>
    <w:rsid w:val="00D568BE"/>
    <w:rsid w:val="00D60E69"/>
    <w:rsid w:val="00D61A11"/>
    <w:rsid w:val="00D61D82"/>
    <w:rsid w:val="00D6563C"/>
    <w:rsid w:val="00D66F82"/>
    <w:rsid w:val="00D67BC9"/>
    <w:rsid w:val="00D70473"/>
    <w:rsid w:val="00D70490"/>
    <w:rsid w:val="00D7124E"/>
    <w:rsid w:val="00D71B62"/>
    <w:rsid w:val="00D73622"/>
    <w:rsid w:val="00D775C8"/>
    <w:rsid w:val="00D77FB9"/>
    <w:rsid w:val="00D80848"/>
    <w:rsid w:val="00D80FCD"/>
    <w:rsid w:val="00D81227"/>
    <w:rsid w:val="00D812D6"/>
    <w:rsid w:val="00D813B3"/>
    <w:rsid w:val="00D8202D"/>
    <w:rsid w:val="00D835DD"/>
    <w:rsid w:val="00D83A21"/>
    <w:rsid w:val="00D87923"/>
    <w:rsid w:val="00DA0C0B"/>
    <w:rsid w:val="00DA1559"/>
    <w:rsid w:val="00DA19EC"/>
    <w:rsid w:val="00DA2A57"/>
    <w:rsid w:val="00DA3179"/>
    <w:rsid w:val="00DA36E1"/>
    <w:rsid w:val="00DA63F9"/>
    <w:rsid w:val="00DA6E39"/>
    <w:rsid w:val="00DB12C7"/>
    <w:rsid w:val="00DB3AD7"/>
    <w:rsid w:val="00DB432E"/>
    <w:rsid w:val="00DB7997"/>
    <w:rsid w:val="00DC15F4"/>
    <w:rsid w:val="00DC2540"/>
    <w:rsid w:val="00DC6DDA"/>
    <w:rsid w:val="00DC7A80"/>
    <w:rsid w:val="00DD34CE"/>
    <w:rsid w:val="00DD48C5"/>
    <w:rsid w:val="00DD7BF6"/>
    <w:rsid w:val="00DE053C"/>
    <w:rsid w:val="00DE2CEC"/>
    <w:rsid w:val="00DE5B21"/>
    <w:rsid w:val="00DE70FD"/>
    <w:rsid w:val="00DF14CE"/>
    <w:rsid w:val="00DF5E74"/>
    <w:rsid w:val="00DF6227"/>
    <w:rsid w:val="00DF6E82"/>
    <w:rsid w:val="00DF7603"/>
    <w:rsid w:val="00DF76F3"/>
    <w:rsid w:val="00E04CB7"/>
    <w:rsid w:val="00E051BC"/>
    <w:rsid w:val="00E05632"/>
    <w:rsid w:val="00E0594F"/>
    <w:rsid w:val="00E05A08"/>
    <w:rsid w:val="00E07A92"/>
    <w:rsid w:val="00E11175"/>
    <w:rsid w:val="00E11337"/>
    <w:rsid w:val="00E11BF6"/>
    <w:rsid w:val="00E1315C"/>
    <w:rsid w:val="00E161D5"/>
    <w:rsid w:val="00E205B3"/>
    <w:rsid w:val="00E27137"/>
    <w:rsid w:val="00E32C73"/>
    <w:rsid w:val="00E33713"/>
    <w:rsid w:val="00E36042"/>
    <w:rsid w:val="00E36DC5"/>
    <w:rsid w:val="00E375FF"/>
    <w:rsid w:val="00E4046C"/>
    <w:rsid w:val="00E41E9A"/>
    <w:rsid w:val="00E42795"/>
    <w:rsid w:val="00E427DB"/>
    <w:rsid w:val="00E42D76"/>
    <w:rsid w:val="00E448F9"/>
    <w:rsid w:val="00E4776C"/>
    <w:rsid w:val="00E4792E"/>
    <w:rsid w:val="00E51BFF"/>
    <w:rsid w:val="00E52CCC"/>
    <w:rsid w:val="00E53C15"/>
    <w:rsid w:val="00E55C66"/>
    <w:rsid w:val="00E57DBE"/>
    <w:rsid w:val="00E6101A"/>
    <w:rsid w:val="00E6111E"/>
    <w:rsid w:val="00E6285A"/>
    <w:rsid w:val="00E63DCB"/>
    <w:rsid w:val="00E70B6D"/>
    <w:rsid w:val="00E72931"/>
    <w:rsid w:val="00E735FD"/>
    <w:rsid w:val="00E738C5"/>
    <w:rsid w:val="00E73F32"/>
    <w:rsid w:val="00E75085"/>
    <w:rsid w:val="00E83CAF"/>
    <w:rsid w:val="00E871F8"/>
    <w:rsid w:val="00EA170A"/>
    <w:rsid w:val="00EA3036"/>
    <w:rsid w:val="00EA3B5B"/>
    <w:rsid w:val="00EA666B"/>
    <w:rsid w:val="00EB3769"/>
    <w:rsid w:val="00EB405F"/>
    <w:rsid w:val="00EB485F"/>
    <w:rsid w:val="00EB5483"/>
    <w:rsid w:val="00EB78FC"/>
    <w:rsid w:val="00EC1162"/>
    <w:rsid w:val="00EC30CF"/>
    <w:rsid w:val="00EC58A5"/>
    <w:rsid w:val="00EC645D"/>
    <w:rsid w:val="00EC7A4B"/>
    <w:rsid w:val="00ED5AAA"/>
    <w:rsid w:val="00ED63B8"/>
    <w:rsid w:val="00ED711D"/>
    <w:rsid w:val="00EE08AC"/>
    <w:rsid w:val="00EE0997"/>
    <w:rsid w:val="00EE28EB"/>
    <w:rsid w:val="00EE3631"/>
    <w:rsid w:val="00EE5D2E"/>
    <w:rsid w:val="00EF1423"/>
    <w:rsid w:val="00EF2211"/>
    <w:rsid w:val="00EF364B"/>
    <w:rsid w:val="00EF747C"/>
    <w:rsid w:val="00F032D3"/>
    <w:rsid w:val="00F032FD"/>
    <w:rsid w:val="00F13377"/>
    <w:rsid w:val="00F13A3E"/>
    <w:rsid w:val="00F147CE"/>
    <w:rsid w:val="00F16B35"/>
    <w:rsid w:val="00F2495F"/>
    <w:rsid w:val="00F252F2"/>
    <w:rsid w:val="00F274C8"/>
    <w:rsid w:val="00F311AE"/>
    <w:rsid w:val="00F31D3C"/>
    <w:rsid w:val="00F32344"/>
    <w:rsid w:val="00F33667"/>
    <w:rsid w:val="00F33A36"/>
    <w:rsid w:val="00F41663"/>
    <w:rsid w:val="00F420BD"/>
    <w:rsid w:val="00F452AE"/>
    <w:rsid w:val="00F47CE3"/>
    <w:rsid w:val="00F47EF8"/>
    <w:rsid w:val="00F53875"/>
    <w:rsid w:val="00F53B69"/>
    <w:rsid w:val="00F55261"/>
    <w:rsid w:val="00F5620C"/>
    <w:rsid w:val="00F5721E"/>
    <w:rsid w:val="00F57358"/>
    <w:rsid w:val="00F64B5A"/>
    <w:rsid w:val="00F67ABB"/>
    <w:rsid w:val="00F71224"/>
    <w:rsid w:val="00F74910"/>
    <w:rsid w:val="00F76064"/>
    <w:rsid w:val="00F77FFA"/>
    <w:rsid w:val="00F825AB"/>
    <w:rsid w:val="00F85A31"/>
    <w:rsid w:val="00F8671F"/>
    <w:rsid w:val="00F874BD"/>
    <w:rsid w:val="00F907BB"/>
    <w:rsid w:val="00F91F88"/>
    <w:rsid w:val="00F93042"/>
    <w:rsid w:val="00F95801"/>
    <w:rsid w:val="00FA17B9"/>
    <w:rsid w:val="00FA1C34"/>
    <w:rsid w:val="00FA284A"/>
    <w:rsid w:val="00FB0721"/>
    <w:rsid w:val="00FB3C60"/>
    <w:rsid w:val="00FB4117"/>
    <w:rsid w:val="00FB7979"/>
    <w:rsid w:val="00FC149C"/>
    <w:rsid w:val="00FC1999"/>
    <w:rsid w:val="00FD078D"/>
    <w:rsid w:val="00FD08B8"/>
    <w:rsid w:val="00FD1A3A"/>
    <w:rsid w:val="00FD1D1C"/>
    <w:rsid w:val="00FD64F4"/>
    <w:rsid w:val="00FD6ECD"/>
    <w:rsid w:val="00FE3683"/>
    <w:rsid w:val="00FE53CD"/>
    <w:rsid w:val="00FF09D3"/>
    <w:rsid w:val="00FF2635"/>
    <w:rsid w:val="00FF28D7"/>
    <w:rsid w:val="00FF430E"/>
    <w:rsid w:val="00FF5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D6126"/>
  <w15:chartTrackingRefBased/>
  <w15:docId w15:val="{E8AE64A6-4321-4057-B8B8-BC4E8842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F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901"/>
    <w:pPr>
      <w:ind w:left="720"/>
      <w:contextualSpacing/>
    </w:pPr>
  </w:style>
  <w:style w:type="table" w:styleId="TableGrid">
    <w:name w:val="Table Grid"/>
    <w:basedOn w:val="TableNormal"/>
    <w:uiPriority w:val="39"/>
    <w:rsid w:val="003D6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4033"/>
    <w:rPr>
      <w:sz w:val="16"/>
      <w:szCs w:val="16"/>
    </w:rPr>
  </w:style>
  <w:style w:type="paragraph" w:styleId="CommentText">
    <w:name w:val="annotation text"/>
    <w:basedOn w:val="Normal"/>
    <w:link w:val="CommentTextChar"/>
    <w:uiPriority w:val="99"/>
    <w:semiHidden/>
    <w:unhideWhenUsed/>
    <w:rsid w:val="00CE4033"/>
    <w:pPr>
      <w:spacing w:line="240" w:lineRule="auto"/>
    </w:pPr>
    <w:rPr>
      <w:sz w:val="20"/>
      <w:szCs w:val="20"/>
    </w:rPr>
  </w:style>
  <w:style w:type="character" w:customStyle="1" w:styleId="CommentTextChar">
    <w:name w:val="Comment Text Char"/>
    <w:basedOn w:val="DefaultParagraphFont"/>
    <w:link w:val="CommentText"/>
    <w:uiPriority w:val="99"/>
    <w:semiHidden/>
    <w:rsid w:val="00CE4033"/>
    <w:rPr>
      <w:sz w:val="20"/>
      <w:szCs w:val="20"/>
    </w:rPr>
  </w:style>
  <w:style w:type="paragraph" w:styleId="CommentSubject">
    <w:name w:val="annotation subject"/>
    <w:basedOn w:val="CommentText"/>
    <w:next w:val="CommentText"/>
    <w:link w:val="CommentSubjectChar"/>
    <w:uiPriority w:val="99"/>
    <w:semiHidden/>
    <w:unhideWhenUsed/>
    <w:rsid w:val="00CE4033"/>
    <w:rPr>
      <w:b/>
      <w:bCs/>
    </w:rPr>
  </w:style>
  <w:style w:type="character" w:customStyle="1" w:styleId="CommentSubjectChar">
    <w:name w:val="Comment Subject Char"/>
    <w:basedOn w:val="CommentTextChar"/>
    <w:link w:val="CommentSubject"/>
    <w:uiPriority w:val="99"/>
    <w:semiHidden/>
    <w:rsid w:val="00CE4033"/>
    <w:rPr>
      <w:b/>
      <w:bCs/>
      <w:sz w:val="20"/>
      <w:szCs w:val="20"/>
    </w:rPr>
  </w:style>
  <w:style w:type="paragraph" w:styleId="BalloonText">
    <w:name w:val="Balloon Text"/>
    <w:basedOn w:val="Normal"/>
    <w:link w:val="BalloonTextChar"/>
    <w:uiPriority w:val="99"/>
    <w:semiHidden/>
    <w:unhideWhenUsed/>
    <w:rsid w:val="00CE4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033"/>
    <w:rPr>
      <w:rFonts w:ascii="Segoe UI" w:hAnsi="Segoe UI" w:cs="Segoe UI"/>
      <w:sz w:val="18"/>
      <w:szCs w:val="18"/>
    </w:rPr>
  </w:style>
  <w:style w:type="character" w:styleId="Hyperlink">
    <w:name w:val="Hyperlink"/>
    <w:basedOn w:val="DefaultParagraphFont"/>
    <w:uiPriority w:val="99"/>
    <w:unhideWhenUsed/>
    <w:rsid w:val="00834CC2"/>
    <w:rPr>
      <w:color w:val="0563C1" w:themeColor="hyperlink"/>
      <w:u w:val="single"/>
    </w:rPr>
  </w:style>
  <w:style w:type="paragraph" w:styleId="Revision">
    <w:name w:val="Revision"/>
    <w:hidden/>
    <w:uiPriority w:val="99"/>
    <w:semiHidden/>
    <w:rsid w:val="004A064E"/>
    <w:pPr>
      <w:spacing w:after="0" w:line="240" w:lineRule="auto"/>
    </w:pPr>
  </w:style>
  <w:style w:type="character" w:styleId="FollowedHyperlink">
    <w:name w:val="FollowedHyperlink"/>
    <w:basedOn w:val="DefaultParagraphFont"/>
    <w:uiPriority w:val="99"/>
    <w:semiHidden/>
    <w:unhideWhenUsed/>
    <w:rsid w:val="00AF5A19"/>
    <w:rPr>
      <w:color w:val="954F72" w:themeColor="followedHyperlink"/>
      <w:u w:val="single"/>
    </w:rPr>
  </w:style>
  <w:style w:type="paragraph" w:customStyle="1" w:styleId="btlogo">
    <w:name w:val="btlogo"/>
    <w:basedOn w:val="Normal"/>
    <w:rsid w:val="00892D9B"/>
    <w:pPr>
      <w:spacing w:before="120" w:after="0" w:line="240" w:lineRule="atLeast"/>
      <w:ind w:left="-709"/>
      <w:jc w:val="right"/>
    </w:pPr>
    <w:rPr>
      <w:rFonts w:ascii="Arial" w:eastAsia="Times New Roman" w:hAnsi="Arial" w:cs="Times New Roman"/>
      <w:bCs/>
      <w:sz w:val="24"/>
      <w:szCs w:val="28"/>
    </w:rPr>
  </w:style>
  <w:style w:type="paragraph" w:customStyle="1" w:styleId="btheading">
    <w:name w:val="btheading"/>
    <w:basedOn w:val="Normal"/>
    <w:rsid w:val="00892D9B"/>
    <w:pPr>
      <w:tabs>
        <w:tab w:val="right" w:pos="9214"/>
      </w:tabs>
      <w:spacing w:before="520" w:after="240" w:line="240" w:lineRule="atLeast"/>
      <w:ind w:left="-709" w:right="-709"/>
    </w:pPr>
    <w:rPr>
      <w:rFonts w:ascii="Arial" w:eastAsia="Times New Roman" w:hAnsi="Arial" w:cs="Times New Roman"/>
      <w:iCs/>
      <w:sz w:val="56"/>
      <w:szCs w:val="28"/>
    </w:rPr>
  </w:style>
  <w:style w:type="character" w:customStyle="1" w:styleId="Heading1Char">
    <w:name w:val="Heading 1 Char"/>
    <w:basedOn w:val="DefaultParagraphFont"/>
    <w:link w:val="Heading1"/>
    <w:uiPriority w:val="9"/>
    <w:rsid w:val="00782F56"/>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980C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501538">
      <w:bodyDiv w:val="1"/>
      <w:marLeft w:val="0"/>
      <w:marRight w:val="0"/>
      <w:marTop w:val="0"/>
      <w:marBottom w:val="0"/>
      <w:divBdr>
        <w:top w:val="none" w:sz="0" w:space="0" w:color="auto"/>
        <w:left w:val="none" w:sz="0" w:space="0" w:color="auto"/>
        <w:bottom w:val="none" w:sz="0" w:space="0" w:color="auto"/>
        <w:right w:val="none" w:sz="0" w:space="0" w:color="auto"/>
      </w:divBdr>
      <w:divsChild>
        <w:div w:id="1330907034">
          <w:marLeft w:val="0"/>
          <w:marRight w:val="0"/>
          <w:marTop w:val="0"/>
          <w:marBottom w:val="0"/>
          <w:divBdr>
            <w:top w:val="none" w:sz="0" w:space="0" w:color="auto"/>
            <w:left w:val="none" w:sz="0" w:space="0" w:color="auto"/>
            <w:bottom w:val="none" w:sz="0" w:space="0" w:color="auto"/>
            <w:right w:val="none" w:sz="0" w:space="0" w:color="auto"/>
          </w:divBdr>
          <w:divsChild>
            <w:div w:id="1451901211">
              <w:marLeft w:val="0"/>
              <w:marRight w:val="0"/>
              <w:marTop w:val="0"/>
              <w:marBottom w:val="0"/>
              <w:divBdr>
                <w:top w:val="none" w:sz="0" w:space="0" w:color="auto"/>
                <w:left w:val="none" w:sz="0" w:space="0" w:color="auto"/>
                <w:bottom w:val="none" w:sz="0" w:space="0" w:color="auto"/>
                <w:right w:val="none" w:sz="0" w:space="0" w:color="auto"/>
              </w:divBdr>
              <w:divsChild>
                <w:div w:id="272172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027099879">
      <w:bodyDiv w:val="1"/>
      <w:marLeft w:val="0"/>
      <w:marRight w:val="0"/>
      <w:marTop w:val="0"/>
      <w:marBottom w:val="0"/>
      <w:divBdr>
        <w:top w:val="none" w:sz="0" w:space="0" w:color="auto"/>
        <w:left w:val="none" w:sz="0" w:space="0" w:color="auto"/>
        <w:bottom w:val="none" w:sz="0" w:space="0" w:color="auto"/>
        <w:right w:val="none" w:sz="0" w:space="0" w:color="auto"/>
      </w:divBdr>
      <w:divsChild>
        <w:div w:id="951673457">
          <w:marLeft w:val="0"/>
          <w:marRight w:val="0"/>
          <w:marTop w:val="0"/>
          <w:marBottom w:val="0"/>
          <w:divBdr>
            <w:top w:val="none" w:sz="0" w:space="0" w:color="auto"/>
            <w:left w:val="none" w:sz="0" w:space="0" w:color="auto"/>
            <w:bottom w:val="none" w:sz="0" w:space="0" w:color="auto"/>
            <w:right w:val="none" w:sz="0" w:space="0" w:color="auto"/>
          </w:divBdr>
          <w:divsChild>
            <w:div w:id="791829548">
              <w:marLeft w:val="0"/>
              <w:marRight w:val="0"/>
              <w:marTop w:val="0"/>
              <w:marBottom w:val="0"/>
              <w:divBdr>
                <w:top w:val="none" w:sz="0" w:space="0" w:color="auto"/>
                <w:left w:val="none" w:sz="0" w:space="0" w:color="auto"/>
                <w:bottom w:val="none" w:sz="0" w:space="0" w:color="auto"/>
                <w:right w:val="none" w:sz="0" w:space="0" w:color="auto"/>
              </w:divBdr>
              <w:divsChild>
                <w:div w:id="1409578150">
                  <w:marLeft w:val="0"/>
                  <w:marRight w:val="0"/>
                  <w:marTop w:val="0"/>
                  <w:marBottom w:val="480"/>
                  <w:divBdr>
                    <w:top w:val="none" w:sz="0" w:space="0" w:color="auto"/>
                    <w:left w:val="none" w:sz="0" w:space="0" w:color="auto"/>
                    <w:bottom w:val="none" w:sz="0" w:space="0" w:color="auto"/>
                    <w:right w:val="none" w:sz="0" w:space="0" w:color="auto"/>
                  </w:divBdr>
                  <w:divsChild>
                    <w:div w:id="1449350122">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http://ico.org.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co.org.uk/for-organisations/report-a-breach/" TargetMode="External"/><Relationship Id="rId4" Type="http://schemas.openxmlformats.org/officeDocument/2006/relationships/settings" Target="settings.xml"/><Relationship Id="rId9" Type="http://schemas.openxmlformats.org/officeDocument/2006/relationships/package" Target="embeddings/Microsoft_Visio_Drawing.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B40A5-22F7-408D-B6B9-B08B1D888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Hammond,IJ,Ian,HKO12 R</dc:creator>
  <cp:keywords/>
  <dc:description/>
  <cp:lastModifiedBy>Matt Butterfield</cp:lastModifiedBy>
  <cp:revision>3</cp:revision>
  <dcterms:created xsi:type="dcterms:W3CDTF">2018-04-25T10:34:00Z</dcterms:created>
  <dcterms:modified xsi:type="dcterms:W3CDTF">2018-04-25T10:46:00Z</dcterms:modified>
</cp:coreProperties>
</file>